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D32" w:rsidRPr="00733DC6" w:rsidRDefault="00501D32">
      <w:pPr>
        <w:rPr>
          <w:b/>
        </w:rPr>
      </w:pPr>
      <w:bookmarkStart w:id="0" w:name="_GoBack"/>
      <w:bookmarkEnd w:id="0"/>
      <w:r w:rsidRPr="00733DC6">
        <w:rPr>
          <w:b/>
        </w:rPr>
        <w:t>Neue Untersuchungs- und Behandlungsmethoden gemäß §6 Absatz 2 KHEntgG</w:t>
      </w:r>
    </w:p>
    <w:p w:rsidR="00F42BA8" w:rsidRPr="00733DC6" w:rsidRDefault="00F42BA8" w:rsidP="00F42B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7"/>
      </w:tblGrid>
      <w:tr w:rsidR="00F42BA8" w:rsidRPr="007A046B">
        <w:tc>
          <w:tcPr>
            <w:tcW w:w="9347" w:type="dxa"/>
          </w:tcPr>
          <w:p w:rsidR="00F42BA8" w:rsidRPr="007A046B" w:rsidRDefault="00F42BA8" w:rsidP="002202B2">
            <w:pPr>
              <w:rPr>
                <w:b/>
                <w:bCs/>
              </w:rPr>
            </w:pPr>
            <w:r w:rsidRPr="007A046B">
              <w:rPr>
                <w:b/>
                <w:bCs/>
              </w:rPr>
              <w:t>Haben Sie externe Hilfestellungen in Anspruch genommen? Wenn ja, bitte geben Sie an, welche Hilfestellung Sie in Anspruch genommen haben?</w:t>
            </w:r>
          </w:p>
        </w:tc>
      </w:tr>
      <w:tr w:rsidR="00F42BA8" w:rsidRPr="007A046B">
        <w:tc>
          <w:tcPr>
            <w:tcW w:w="9347" w:type="dxa"/>
          </w:tcPr>
          <w:p w:rsidR="00F42BA8" w:rsidRPr="00733DC6" w:rsidRDefault="00733DC6" w:rsidP="00FA0FA9">
            <w:r w:rsidRPr="00733DC6">
              <w:t xml:space="preserve">Dieser Antrag wurde durch die Gesellschaft für Pädiatrische Onkologie und Hämatologie e.V. formuliert. </w:t>
            </w:r>
          </w:p>
        </w:tc>
      </w:tr>
    </w:tbl>
    <w:p w:rsidR="00F42BA8" w:rsidRPr="00733DC6" w:rsidRDefault="00F42BA8" w:rsidP="00220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F42BA8" w:rsidRPr="007A046B">
        <w:tc>
          <w:tcPr>
            <w:tcW w:w="9333" w:type="dxa"/>
          </w:tcPr>
          <w:p w:rsidR="00F42BA8" w:rsidRPr="007A046B" w:rsidRDefault="00F42BA8" w:rsidP="002202B2">
            <w:pPr>
              <w:rPr>
                <w:b/>
                <w:bCs/>
              </w:rPr>
            </w:pPr>
            <w:r w:rsidRPr="007A046B">
              <w:rPr>
                <w:b/>
                <w:bCs/>
              </w:rPr>
              <w:t>1.1 Angefragte Untersuchungs- und Behandlungsmethode (Kurzbezeichnung)</w:t>
            </w:r>
          </w:p>
        </w:tc>
      </w:tr>
      <w:tr w:rsidR="00F42BA8" w:rsidRPr="007A046B">
        <w:tc>
          <w:tcPr>
            <w:tcW w:w="9333" w:type="dxa"/>
          </w:tcPr>
          <w:p w:rsidR="00F42BA8" w:rsidRPr="00733DC6" w:rsidRDefault="002E4AF3" w:rsidP="00FA0FA9">
            <w:r w:rsidRPr="002E4AF3">
              <w:t>Everolimus</w:t>
            </w:r>
          </w:p>
        </w:tc>
      </w:tr>
    </w:tbl>
    <w:p w:rsidR="00F42BA8" w:rsidRPr="00733DC6" w:rsidRDefault="00F42BA8" w:rsidP="002202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F42BA8" w:rsidRPr="007A046B">
        <w:tc>
          <w:tcPr>
            <w:tcW w:w="9333" w:type="dxa"/>
          </w:tcPr>
          <w:p w:rsidR="00F42BA8" w:rsidRPr="007A046B" w:rsidRDefault="00F42BA8" w:rsidP="002202B2">
            <w:pPr>
              <w:rPr>
                <w:b/>
                <w:bCs/>
              </w:rPr>
            </w:pPr>
            <w:r w:rsidRPr="007A046B">
              <w:rPr>
                <w:b/>
                <w:bCs/>
              </w:rPr>
              <w:t xml:space="preserve">1.2 </w:t>
            </w:r>
            <w:r w:rsidRPr="007A046B">
              <w:rPr>
                <w:b/>
              </w:rPr>
              <w:t>Alternative Bezeichnung(en) der Methode</w:t>
            </w:r>
          </w:p>
        </w:tc>
      </w:tr>
      <w:tr w:rsidR="00F42BA8" w:rsidRPr="007A046B">
        <w:tc>
          <w:tcPr>
            <w:tcW w:w="9333" w:type="dxa"/>
          </w:tcPr>
          <w:p w:rsidR="00F42BA8" w:rsidRPr="00733DC6" w:rsidRDefault="002E4AF3" w:rsidP="00FA0FA9">
            <w:r w:rsidRPr="002E4AF3">
              <w:t>Votubia</w:t>
            </w:r>
            <w:r w:rsidRPr="0071417A">
              <w:rPr>
                <w:vertAlign w:val="superscript"/>
              </w:rPr>
              <w:t>®</w:t>
            </w:r>
          </w:p>
        </w:tc>
      </w:tr>
    </w:tbl>
    <w:p w:rsidR="00F42BA8" w:rsidRDefault="00F42BA8" w:rsidP="002202B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7132DA" w:rsidRPr="007132DA" w:rsidTr="004528C7">
        <w:tc>
          <w:tcPr>
            <w:tcW w:w="9212" w:type="dxa"/>
            <w:tcBorders>
              <w:top w:val="single" w:sz="4" w:space="0" w:color="auto"/>
              <w:left w:val="single" w:sz="4" w:space="0" w:color="auto"/>
              <w:bottom w:val="single" w:sz="4" w:space="0" w:color="auto"/>
              <w:right w:val="single" w:sz="4" w:space="0" w:color="auto"/>
            </w:tcBorders>
          </w:tcPr>
          <w:p w:rsidR="007132DA" w:rsidRPr="007132DA" w:rsidRDefault="007132DA" w:rsidP="007132DA">
            <w:pPr>
              <w:rPr>
                <w:b/>
              </w:rPr>
            </w:pPr>
            <w:r w:rsidRPr="007132DA">
              <w:rPr>
                <w:b/>
              </w:rPr>
              <w:t>1.3 Beruht die neue Untersuchungs- und Behandlungsmethode vollständig oder in Teilen auf dem Einsatz eines Medizinproduktes?</w:t>
            </w:r>
            <w:r w:rsidRPr="007132DA">
              <w:rPr>
                <w:b/>
              </w:rPr>
              <w:tab/>
            </w:r>
          </w:p>
        </w:tc>
      </w:tr>
      <w:tr w:rsidR="007132DA" w:rsidRPr="007132DA" w:rsidTr="004528C7">
        <w:tc>
          <w:tcPr>
            <w:tcW w:w="9212" w:type="dxa"/>
            <w:tcBorders>
              <w:top w:val="single" w:sz="4" w:space="0" w:color="auto"/>
              <w:left w:val="single" w:sz="4" w:space="0" w:color="auto"/>
              <w:bottom w:val="single" w:sz="4" w:space="0" w:color="auto"/>
              <w:right w:val="single" w:sz="4" w:space="0" w:color="auto"/>
            </w:tcBorders>
          </w:tcPr>
          <w:p w:rsidR="007132DA" w:rsidRPr="007132DA" w:rsidRDefault="007132DA" w:rsidP="007132DA">
            <w:r w:rsidRPr="007132DA">
              <w:rPr>
                <w:highlight w:val="yellow"/>
              </w:rPr>
              <w:t>Hier nein ankreuzen</w:t>
            </w:r>
          </w:p>
        </w:tc>
      </w:tr>
    </w:tbl>
    <w:p w:rsidR="007132DA" w:rsidRDefault="007132DA" w:rsidP="002202B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7132DA" w:rsidRPr="007132DA" w:rsidTr="004528C7">
        <w:tc>
          <w:tcPr>
            <w:tcW w:w="9212" w:type="dxa"/>
          </w:tcPr>
          <w:p w:rsidR="007132DA" w:rsidRPr="007132DA" w:rsidRDefault="007132DA" w:rsidP="007132DA">
            <w:pPr>
              <w:rPr>
                <w:b/>
              </w:rPr>
            </w:pPr>
            <w:r w:rsidRPr="007132DA">
              <w:rPr>
                <w:b/>
              </w:rPr>
              <w:t xml:space="preserve">1.4 Wurde für diese angefragte Untersuchungs- und Behandlungsmethode von Ihrem Krankenhaus bereits vor dem 01.01.2017 eine Anfrage gemäß §6 Abs. 2 KHEntG an das InEK übermittelt </w:t>
            </w:r>
            <w:r w:rsidRPr="007132DA">
              <w:rPr>
                <w:b/>
              </w:rPr>
              <w:tab/>
            </w:r>
          </w:p>
        </w:tc>
      </w:tr>
      <w:tr w:rsidR="007132DA" w:rsidRPr="007132DA" w:rsidTr="004528C7">
        <w:tc>
          <w:tcPr>
            <w:tcW w:w="9212" w:type="dxa"/>
          </w:tcPr>
          <w:p w:rsidR="007132DA" w:rsidRPr="007132DA" w:rsidRDefault="007132DA" w:rsidP="007132DA">
            <w:r w:rsidRPr="007132DA">
              <w:rPr>
                <w:highlight w:val="yellow"/>
              </w:rPr>
              <w:t>Ja/nein</w:t>
            </w:r>
          </w:p>
        </w:tc>
      </w:tr>
    </w:tbl>
    <w:p w:rsidR="007132DA" w:rsidRPr="00733DC6" w:rsidRDefault="007132DA" w:rsidP="002202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F42BA8" w:rsidRPr="007A046B">
        <w:tc>
          <w:tcPr>
            <w:tcW w:w="9333" w:type="dxa"/>
          </w:tcPr>
          <w:p w:rsidR="00F42BA8" w:rsidRPr="007A046B" w:rsidRDefault="00F42BA8" w:rsidP="007132DA">
            <w:pPr>
              <w:rPr>
                <w:b/>
                <w:bCs/>
              </w:rPr>
            </w:pPr>
            <w:r w:rsidRPr="007A046B">
              <w:rPr>
                <w:b/>
                <w:bCs/>
              </w:rPr>
              <w:t>1.</w:t>
            </w:r>
            <w:r w:rsidR="007132DA">
              <w:rPr>
                <w:b/>
                <w:bCs/>
              </w:rPr>
              <w:t>5</w:t>
            </w:r>
            <w:r w:rsidRPr="007A046B">
              <w:rPr>
                <w:b/>
                <w:bCs/>
              </w:rPr>
              <w:t xml:space="preserve"> Beschreibung der neuen Methode</w:t>
            </w:r>
          </w:p>
        </w:tc>
      </w:tr>
      <w:tr w:rsidR="00F42BA8" w:rsidRPr="00DE4B0F">
        <w:tc>
          <w:tcPr>
            <w:tcW w:w="9333" w:type="dxa"/>
          </w:tcPr>
          <w:p w:rsidR="00F42BA8" w:rsidRDefault="002E4AF3" w:rsidP="002E4AF3">
            <w:pPr>
              <w:rPr>
                <w:bCs/>
              </w:rPr>
            </w:pPr>
            <w:r w:rsidRPr="000E6923">
              <w:rPr>
                <w:bCs/>
              </w:rPr>
              <w:t>Everolimus (Votubia</w:t>
            </w:r>
            <w:r w:rsidRPr="0071417A">
              <w:rPr>
                <w:bCs/>
                <w:vertAlign w:val="superscript"/>
              </w:rPr>
              <w:t>®</w:t>
            </w:r>
            <w:r w:rsidRPr="000E6923">
              <w:rPr>
                <w:bCs/>
              </w:rPr>
              <w:t>) ist angezeigt für die Behandlung von Patienten</w:t>
            </w:r>
            <w:r w:rsidR="00587D98">
              <w:rPr>
                <w:bCs/>
              </w:rPr>
              <w:t>, die</w:t>
            </w:r>
            <w:r w:rsidRPr="000E6923">
              <w:rPr>
                <w:bCs/>
              </w:rPr>
              <w:t xml:space="preserve"> mit aufgrund einer tuberösen Sklerose (tuberous sclerosis complex, TSC)</w:t>
            </w:r>
            <w:r w:rsidR="00587D98">
              <w:rPr>
                <w:bCs/>
              </w:rPr>
              <w:t xml:space="preserve"> an einem </w:t>
            </w:r>
            <w:r w:rsidR="00587D98" w:rsidRPr="000E6923">
              <w:rPr>
                <w:bCs/>
              </w:rPr>
              <w:t>subependymalem Riesenzellastrozytom (SEGA)</w:t>
            </w:r>
            <w:r w:rsidR="00587D98">
              <w:rPr>
                <w:bCs/>
              </w:rPr>
              <w:t xml:space="preserve"> und7oder renalem Angiomyolipom leiden</w:t>
            </w:r>
            <w:r w:rsidRPr="000E6923">
              <w:rPr>
                <w:bCs/>
              </w:rPr>
              <w:t>, die eine operative therapeutische Maßnahme benötigen, für die aber ein chirurgischer Eingriff nicht zumutbar ist oder eine</w:t>
            </w:r>
            <w:r w:rsidR="000E6923">
              <w:rPr>
                <w:bCs/>
              </w:rPr>
              <w:t xml:space="preserve"> </w:t>
            </w:r>
            <w:r w:rsidRPr="000E6923">
              <w:rPr>
                <w:bCs/>
              </w:rPr>
              <w:t>Inoperabilität vorliegt. Tuberöse Sklerose wird durch Mutationen der Gene TSC1 und TSC2 verursacht. Dadurch kommt es zu einer konstitutiven Aktivierung von mTOR („mammalian target for rapamycin“), was zur Bildung von meist gutartigen Tumoren nahezu im gesamten Körper führt. Bei bis zu 20% der TSC-Patienten entwickelt sich meist im Kindes bzw. Jugendalter ein subependymales Riesenzellastrozytom (SEGA). Durch den oft schleichenden und schwer vorhersehbaren Verlauf des SEGA-Wachstums kann es zur Ausbildung eines Hydrozephalus kommen, der erst spät erkannt wird. In diesem Fall können schwere neurologische Ausfallerscheinungen bis hin zum Tod auftreten. Die Therapieoptionen bei TSC SEGA waren bisher auf eine chirurgische Entfernung des Tumors beschränkt. Aufgrund der zentralen Lage der Tumoren im Gehirn kann es hierbei jedoch zu Komplikationen kommen, so dass</w:t>
            </w:r>
            <w:r w:rsidR="000E6923">
              <w:rPr>
                <w:bCs/>
              </w:rPr>
              <w:t xml:space="preserve"> </w:t>
            </w:r>
            <w:r w:rsidRPr="000E6923">
              <w:rPr>
                <w:bCs/>
              </w:rPr>
              <w:t>die Operation nicht für alle Patienten angemessen ist. Eine zielgerichtete, kausal in die Ursachen der Erkrankung eingreifende Therapie stand bisher nicht zur Verfügung.</w:t>
            </w:r>
            <w:r w:rsidR="000E6923">
              <w:rPr>
                <w:bCs/>
              </w:rPr>
              <w:t xml:space="preserve"> </w:t>
            </w:r>
            <w:r w:rsidRPr="000E6923">
              <w:rPr>
                <w:bCs/>
              </w:rPr>
              <w:t>Everolimus (Votubia</w:t>
            </w:r>
            <w:r w:rsidRPr="0071417A">
              <w:rPr>
                <w:bCs/>
                <w:vertAlign w:val="superscript"/>
              </w:rPr>
              <w:t>®</w:t>
            </w:r>
            <w:r w:rsidRPr="000E6923">
              <w:rPr>
                <w:bCs/>
              </w:rPr>
              <w:t>) ist ein spezifischer mTOR-Inhibitor. In der zulassungsrelevanten Phase-II-Studie konnte gezeigt werden, dass unter Behandlung mit Everolimus (Votubia</w:t>
            </w:r>
            <w:r w:rsidRPr="0071417A">
              <w:rPr>
                <w:bCs/>
                <w:vertAlign w:val="superscript"/>
              </w:rPr>
              <w:t>®</w:t>
            </w:r>
            <w:r w:rsidRPr="000E6923">
              <w:rPr>
                <w:bCs/>
              </w:rPr>
              <w:t>) das SEGA-Volumen bei der Mehrheit der Patienten signifikant reduziert. Keiner der behandelten Patienten entwickelte unter der Therapie mit Everolimus (Votubia</w:t>
            </w:r>
            <w:r w:rsidRPr="0071417A">
              <w:rPr>
                <w:bCs/>
                <w:vertAlign w:val="superscript"/>
              </w:rPr>
              <w:t>®</w:t>
            </w:r>
            <w:r w:rsidRPr="000E6923">
              <w:rPr>
                <w:bCs/>
              </w:rPr>
              <w:t>) einen neuen oder sich verschlechternden Hydrozephalus oder Symptome für einen erhöhten Hirndruck. Bei keinem Patienten traten neue SEGA-Läsionen auf, und es musste keine chirurgische SEGA-Resektion durchgeführt werden. Gleichzeitig bewirkte die Behandlung mit Everolimus (Votubia</w:t>
            </w:r>
            <w:r w:rsidRPr="0071417A">
              <w:rPr>
                <w:bCs/>
                <w:vertAlign w:val="superscript"/>
              </w:rPr>
              <w:t>®</w:t>
            </w:r>
            <w:r w:rsidRPr="000E6923">
              <w:rPr>
                <w:bCs/>
              </w:rPr>
              <w:t>) eine signifikante Reduktion der Häufigkeit epileptischer Anfälle</w:t>
            </w:r>
            <w:r w:rsidR="00587D98">
              <w:rPr>
                <w:bCs/>
              </w:rPr>
              <w:t xml:space="preserve"> und eine Verbesserung der neuropsychiatrischen Symptome. Ebenso konnte eine Wirksamkeit von Everolimus bei mit der Tuberösen Sklerose assoziierten renalen </w:t>
            </w:r>
            <w:r w:rsidR="00587D98">
              <w:rPr>
                <w:bCs/>
              </w:rPr>
              <w:lastRenderedPageBreak/>
              <w:t>Angiomyolipomen gezeigt werden</w:t>
            </w:r>
            <w:r w:rsidRPr="000E6923">
              <w:rPr>
                <w:bCs/>
              </w:rPr>
              <w:t>. Die Therapie erwies sich als gut verträglich. Everolimus (Votubia</w:t>
            </w:r>
            <w:r w:rsidRPr="0071417A">
              <w:rPr>
                <w:bCs/>
                <w:vertAlign w:val="superscript"/>
              </w:rPr>
              <w:t>®</w:t>
            </w:r>
            <w:r w:rsidRPr="000E6923">
              <w:rPr>
                <w:bCs/>
              </w:rPr>
              <w:t>) wird oral verabreicht. Die empfohlene Anfangsdosis beträgt abhängig von der Körperoberfläche des Patienten zwischen 2,5 mg/Tag und 7,5 mg/Tag (KOF ≤1,2 m² 2,5 mg, 1,3 bis 2,1 m² 5 mg, ≥2,2 m² 7,5 mg</w:t>
            </w:r>
            <w:r w:rsidR="00D65F18">
              <w:rPr>
                <w:bCs/>
              </w:rPr>
              <w:t xml:space="preserve"> bzw. 4,5 mg/m²/Tag</w:t>
            </w:r>
            <w:r w:rsidRPr="000E6923">
              <w:rPr>
                <w:bCs/>
              </w:rPr>
              <w:t xml:space="preserve">). Die Talkonzentrationen von Everolimus im Vollblut sollten etwa 2 Wochen </w:t>
            </w:r>
            <w:r w:rsidR="00D65F18">
              <w:rPr>
                <w:bCs/>
              </w:rPr>
              <w:t xml:space="preserve">(bei Patienten unter 3 Jahren nach 1 Woche) </w:t>
            </w:r>
            <w:r w:rsidRPr="000E6923">
              <w:rPr>
                <w:bCs/>
              </w:rPr>
              <w:t>nach Beginn der</w:t>
            </w:r>
            <w:r w:rsidR="00D65F18">
              <w:rPr>
                <w:bCs/>
              </w:rPr>
              <w:t xml:space="preserve"> </w:t>
            </w:r>
            <w:r w:rsidRPr="000E6923">
              <w:rPr>
                <w:bCs/>
              </w:rPr>
              <w:t>Behandlung bestimmt werden. Die Dosierung muss Serumspiegel-gesteuert stattfinden, so dass Talkonzentrationen von 5 bis 15 ng/ml als therapeutische Spiegel erreicht werden.</w:t>
            </w:r>
          </w:p>
          <w:p w:rsidR="00DE4B0F" w:rsidRDefault="00DE4B0F" w:rsidP="002E4AF3">
            <w:pPr>
              <w:rPr>
                <w:bCs/>
              </w:rPr>
            </w:pPr>
          </w:p>
          <w:p w:rsidR="00DE4B0F" w:rsidRPr="00DE4B0F" w:rsidRDefault="00DE4B0F" w:rsidP="002E4AF3">
            <w:pPr>
              <w:rPr>
                <w:bCs/>
              </w:rPr>
            </w:pPr>
            <w:r>
              <w:rPr>
                <w:bCs/>
              </w:rPr>
              <w:t>Literatur:</w:t>
            </w:r>
          </w:p>
          <w:p w:rsidR="00587D98" w:rsidRPr="00587D98" w:rsidRDefault="00587D98" w:rsidP="00587D98">
            <w:pPr>
              <w:numPr>
                <w:ilvl w:val="0"/>
                <w:numId w:val="10"/>
              </w:numPr>
              <w:rPr>
                <w:lang w:val="en-US"/>
              </w:rPr>
            </w:pPr>
            <w:r w:rsidRPr="00587D98">
              <w:rPr>
                <w:lang w:val="en-US"/>
              </w:rPr>
              <w:t xml:space="preserve">Robles NR, Peces R, Gómez-Ferrer Á, Villacampa F, Álvarez-Ossorio JL,Pérez-Segura P, Morote J, Herrera-Imbroda B, Nieto J, Carballido J, Anido U, Valero M, Meseguer C, Torra R. Everolimus safety and efficacy for renal angiomyolipomas associated with tuberous sclerosis complex: a Spanish expanded access trial. Orphanet J Rare Dis. 2016 Sep 26;11(1):128. </w:t>
            </w:r>
          </w:p>
          <w:p w:rsidR="00587D98" w:rsidRPr="00587D98" w:rsidRDefault="00587D98" w:rsidP="00587D98">
            <w:pPr>
              <w:numPr>
                <w:ilvl w:val="0"/>
                <w:numId w:val="10"/>
              </w:numPr>
              <w:rPr>
                <w:lang w:val="en-US"/>
              </w:rPr>
            </w:pPr>
            <w:r w:rsidRPr="00587D98">
              <w:rPr>
                <w:lang w:val="en-US"/>
              </w:rPr>
              <w:t xml:space="preserve">Capal JK, Franz DN. Profile of everolimus in the treatment of tuberous sclerosis complex: an evidence-based review of its place in therapy. Neuropsychiatr Dis Treat. 2016 Aug 25;12: 2165-72. eCollection 2016. Review. </w:t>
            </w:r>
          </w:p>
          <w:p w:rsidR="00587D98" w:rsidRPr="00587D98" w:rsidRDefault="00587D98" w:rsidP="00587D98">
            <w:pPr>
              <w:numPr>
                <w:ilvl w:val="0"/>
                <w:numId w:val="10"/>
              </w:numPr>
              <w:rPr>
                <w:lang w:val="en-US"/>
              </w:rPr>
            </w:pPr>
            <w:r w:rsidRPr="00587D98">
              <w:rPr>
                <w:lang w:val="en-US"/>
              </w:rPr>
              <w:t>Randell E, McNamara R, Davies DM, Owen-Jones E, Kirby N, Angel L, Drew C, Cannings-John R, Smalley M, Saxena A, McDermott E, Stockwell L, de Vries PJ, Hood K, Sampson JR. The use of everolimus in the treatment of neurocognitive problems in tuberous sclerosis (TRON): study protocol for a randomised controlled trial. Trials. 2016 Aug 11;17:398.</w:t>
            </w:r>
          </w:p>
          <w:p w:rsidR="00587D98" w:rsidRPr="00587D98" w:rsidRDefault="00587D98" w:rsidP="00587D98">
            <w:pPr>
              <w:numPr>
                <w:ilvl w:val="0"/>
                <w:numId w:val="10"/>
              </w:numPr>
              <w:rPr>
                <w:lang w:val="en-US"/>
              </w:rPr>
            </w:pPr>
            <w:r w:rsidRPr="00587D98">
              <w:rPr>
                <w:lang w:val="en-US"/>
              </w:rPr>
              <w:t>Franz DN, Belousova E, Sparagana S, Bebin EM, Frost MD, Kuperman R, Witt O, Kohrman MH, Flamini JR, Wu JY, Curatolo P, de Vries PJ, Berkowitz N, Niolat J, Jóźwiak S. Long-Term Use of Everolimus in Patients with Tuberous Sclerosis Complex: Final Results from the EXIST-1 Study. PLoS One. 2016 Jun 28;11(6): e0158476.</w:t>
            </w:r>
          </w:p>
          <w:p w:rsidR="00DE4B0F" w:rsidRPr="00DE4B0F" w:rsidRDefault="00DE4B0F" w:rsidP="00587D98">
            <w:pPr>
              <w:numPr>
                <w:ilvl w:val="0"/>
                <w:numId w:val="10"/>
              </w:numPr>
              <w:rPr>
                <w:lang w:val="en-US"/>
              </w:rPr>
            </w:pPr>
            <w:r w:rsidRPr="00DE4B0F">
              <w:rPr>
                <w:lang w:val="en-US"/>
              </w:rPr>
              <w:t>Ouyang T, Zhang N, Benjamin T, Wang L, Jiao J, Zhao Y, Chen J. Subependymal giant cell astrocytoma: current concepts, management, and future directions. Childs Nerv Syst. 2014 Apr;30(4):561-70.</w:t>
            </w:r>
          </w:p>
          <w:p w:rsidR="00DE4B0F" w:rsidRDefault="00DE4B0F" w:rsidP="00587D98">
            <w:pPr>
              <w:numPr>
                <w:ilvl w:val="0"/>
                <w:numId w:val="10"/>
              </w:numPr>
              <w:rPr>
                <w:lang w:val="en-US"/>
              </w:rPr>
            </w:pPr>
            <w:r w:rsidRPr="00DE4B0F">
              <w:rPr>
                <w:lang w:val="en-US"/>
              </w:rPr>
              <w:t>Cardamone M, Flanagan D, Mowat D, Kennedy SE, Chopra M, Lawson JA. Mammalian</w:t>
            </w:r>
            <w:r>
              <w:rPr>
                <w:lang w:val="en-US"/>
              </w:rPr>
              <w:t xml:space="preserve"> </w:t>
            </w:r>
            <w:r w:rsidRPr="00DE4B0F">
              <w:rPr>
                <w:lang w:val="en-US"/>
              </w:rPr>
              <w:t>target of rapamycin inhibitors for intractable epilepsy and subependymal giant</w:t>
            </w:r>
            <w:r>
              <w:rPr>
                <w:lang w:val="en-US"/>
              </w:rPr>
              <w:t xml:space="preserve"> </w:t>
            </w:r>
            <w:r w:rsidRPr="00DE4B0F">
              <w:rPr>
                <w:lang w:val="en-US"/>
              </w:rPr>
              <w:t>cell astrocytomas in tuberous sclerosis complex. J Pediatr. 2014</w:t>
            </w:r>
            <w:r>
              <w:rPr>
                <w:lang w:val="en-US"/>
              </w:rPr>
              <w:t xml:space="preserve"> </w:t>
            </w:r>
            <w:r w:rsidRPr="00DE4B0F">
              <w:rPr>
                <w:lang w:val="en-US"/>
              </w:rPr>
              <w:t xml:space="preserve">May;164(5):1195-200. </w:t>
            </w:r>
          </w:p>
          <w:p w:rsidR="00DE4B0F" w:rsidRPr="00DE4B0F" w:rsidRDefault="00DE4B0F" w:rsidP="00587D98">
            <w:pPr>
              <w:numPr>
                <w:ilvl w:val="0"/>
                <w:numId w:val="10"/>
              </w:numPr>
              <w:rPr>
                <w:lang w:val="en-US"/>
              </w:rPr>
            </w:pPr>
            <w:r w:rsidRPr="00DE4B0F">
              <w:rPr>
                <w:lang w:val="en-US"/>
              </w:rPr>
              <w:t>Krueger DA. Management of CNS-related Disease Manifestations in Patients With Tuberous Sclerosis Complex. Curr Treat Options Neurol. 2013 Oct;15(5):618-33.</w:t>
            </w:r>
            <w:r>
              <w:rPr>
                <w:lang w:val="en-US"/>
              </w:rPr>
              <w:t xml:space="preserve"> </w:t>
            </w:r>
          </w:p>
          <w:p w:rsidR="00DE4B0F" w:rsidRPr="00DE4B0F" w:rsidRDefault="00DE4B0F" w:rsidP="00587D98">
            <w:pPr>
              <w:numPr>
                <w:ilvl w:val="0"/>
                <w:numId w:val="10"/>
              </w:numPr>
              <w:rPr>
                <w:lang w:val="en-US"/>
              </w:rPr>
            </w:pPr>
            <w:r w:rsidRPr="00DE4B0F">
              <w:rPr>
                <w:lang w:val="en-US"/>
              </w:rPr>
              <w:t>Cappellano AM, Senerchia AA, Adolfo F, Paiva PM, Pinho R, Covic A, Cavalheiro S, Saba N. Successful everolimus therapy for SEGA in pediatric patients with</w:t>
            </w:r>
            <w:r>
              <w:rPr>
                <w:lang w:val="en-US"/>
              </w:rPr>
              <w:t xml:space="preserve"> </w:t>
            </w:r>
            <w:r w:rsidRPr="00DE4B0F">
              <w:rPr>
                <w:lang w:val="en-US"/>
              </w:rPr>
              <w:t>tuberous sclerosis complex. Childs Nerv Syst. 2013 Dec;29(12):2301-5.</w:t>
            </w:r>
          </w:p>
          <w:p w:rsidR="00DE4B0F" w:rsidRPr="00DE4B0F" w:rsidRDefault="00DE4B0F" w:rsidP="00587D98">
            <w:pPr>
              <w:numPr>
                <w:ilvl w:val="0"/>
                <w:numId w:val="10"/>
              </w:numPr>
              <w:rPr>
                <w:lang w:val="en-US"/>
              </w:rPr>
            </w:pPr>
            <w:r w:rsidRPr="00DE4B0F">
              <w:rPr>
                <w:lang w:val="en-US"/>
              </w:rPr>
              <w:t>Kotulska K, Chmielewski D, Borkowska J, Jurkiewicz E, Kuczyński D, Kmieć T,</w:t>
            </w:r>
            <w:r>
              <w:rPr>
                <w:lang w:val="en-US"/>
              </w:rPr>
              <w:t xml:space="preserve"> </w:t>
            </w:r>
            <w:r w:rsidRPr="00DE4B0F">
              <w:rPr>
                <w:lang w:val="en-US"/>
              </w:rPr>
              <w:t>Łojszczyk B, Dunin-Wąsowicz D, Jóźwiak S. Long-term effect of everolimus on</w:t>
            </w:r>
            <w:r>
              <w:rPr>
                <w:lang w:val="en-US"/>
              </w:rPr>
              <w:t xml:space="preserve"> </w:t>
            </w:r>
            <w:r w:rsidRPr="00DE4B0F">
              <w:rPr>
                <w:lang w:val="en-US"/>
              </w:rPr>
              <w:t>epilepsy and growth in children under 3 years of age treated for subependymal</w:t>
            </w:r>
            <w:r>
              <w:rPr>
                <w:lang w:val="en-US"/>
              </w:rPr>
              <w:t xml:space="preserve"> </w:t>
            </w:r>
            <w:r w:rsidRPr="00DE4B0F">
              <w:rPr>
                <w:lang w:val="en-US"/>
              </w:rPr>
              <w:t>giant cell astrocytoma associated with tuberous sclerosis complex. Eur J Paediatr</w:t>
            </w:r>
            <w:r>
              <w:rPr>
                <w:lang w:val="en-US"/>
              </w:rPr>
              <w:t xml:space="preserve"> </w:t>
            </w:r>
            <w:r w:rsidR="00FF1BD4">
              <w:rPr>
                <w:lang w:val="en-US"/>
              </w:rPr>
              <w:t>Neurol. 2013 Sep;17(5):479-85.</w:t>
            </w:r>
          </w:p>
          <w:p w:rsidR="002C7F46" w:rsidRDefault="00DE4B0F" w:rsidP="00587D98">
            <w:pPr>
              <w:numPr>
                <w:ilvl w:val="0"/>
                <w:numId w:val="10"/>
              </w:numPr>
              <w:rPr>
                <w:lang w:val="en-US"/>
              </w:rPr>
            </w:pPr>
            <w:r w:rsidRPr="00DE4B0F">
              <w:rPr>
                <w:lang w:val="en-US"/>
              </w:rPr>
              <w:t>Krueger DA, Care MM, Agricola K, Tudor C, Mays M, Franz DN. Everolimus</w:t>
            </w:r>
            <w:r w:rsidR="00FF1BD4">
              <w:rPr>
                <w:lang w:val="en-US"/>
              </w:rPr>
              <w:t xml:space="preserve"> </w:t>
            </w:r>
            <w:r w:rsidRPr="00DE4B0F">
              <w:rPr>
                <w:lang w:val="en-US"/>
              </w:rPr>
              <w:t>long-term safety and efficacy in subependymal giant cell astrocytoma. Neurology. 2013 Feb 5;80(6):574-80</w:t>
            </w:r>
          </w:p>
          <w:p w:rsidR="00B30358" w:rsidRPr="00B30358" w:rsidRDefault="00B30358" w:rsidP="00587D98">
            <w:pPr>
              <w:numPr>
                <w:ilvl w:val="0"/>
                <w:numId w:val="10"/>
              </w:numPr>
            </w:pPr>
            <w:r w:rsidRPr="000E6923">
              <w:t xml:space="preserve">Franz DN, et al. </w:t>
            </w:r>
            <w:r w:rsidRPr="000E6923">
              <w:rPr>
                <w:lang w:val="en-US"/>
              </w:rPr>
              <w:t xml:space="preserve">Efficacy and safety of everolimus for subependymal giant cell astrocytomas associated with tuberous sclerosis complex (EXIST-1): a multicentre, </w:t>
            </w:r>
            <w:r w:rsidRPr="000E6923">
              <w:rPr>
                <w:lang w:val="en-US"/>
              </w:rPr>
              <w:lastRenderedPageBreak/>
              <w:t xml:space="preserve">randomised, placebo-controlled phase 3 trial. Lancet. 2013 Jan 12;381(9861):125-32. </w:t>
            </w:r>
            <w:r w:rsidRPr="00B30358">
              <w:t>Erratum in: Lancet. 2013 Jan 12;381(9861):116.</w:t>
            </w:r>
          </w:p>
          <w:p w:rsidR="00B30358" w:rsidRPr="00B30358" w:rsidRDefault="00B30358" w:rsidP="00587D98">
            <w:pPr>
              <w:numPr>
                <w:ilvl w:val="0"/>
                <w:numId w:val="10"/>
              </w:numPr>
            </w:pPr>
            <w:r w:rsidRPr="00B30358">
              <w:rPr>
                <w:lang w:val="en-US"/>
              </w:rPr>
              <w:t xml:space="preserve">Curran MP. Everolimus in patients with subependymal giant cell astrocytoma associated with tuberous sclerosis complex. </w:t>
            </w:r>
            <w:r w:rsidRPr="00B30358">
              <w:t xml:space="preserve">Paediatr Drugs. 2012 Feb 1;14(1):51-60). </w:t>
            </w:r>
          </w:p>
          <w:p w:rsidR="002C7F46" w:rsidRPr="00DE4B0F" w:rsidRDefault="002C7F46" w:rsidP="00587D98">
            <w:pPr>
              <w:numPr>
                <w:ilvl w:val="0"/>
                <w:numId w:val="10"/>
              </w:numPr>
              <w:rPr>
                <w:b/>
                <w:bCs/>
                <w:lang w:val="en-US"/>
              </w:rPr>
            </w:pPr>
            <w:r w:rsidRPr="00B30358">
              <w:rPr>
                <w:lang w:val="en-US"/>
              </w:rPr>
              <w:t>Krueger et al. Everolimus for subependymal giant-cell astrocytomas in tuberous sclerosis. N Engl J Med. 2010 Nov 4;363(19):1801-11</w:t>
            </w:r>
            <w:r w:rsidR="00B30358" w:rsidRPr="00B30358">
              <w:rPr>
                <w:lang w:val="en-US"/>
              </w:rPr>
              <w:t>.</w:t>
            </w:r>
          </w:p>
        </w:tc>
      </w:tr>
    </w:tbl>
    <w:p w:rsidR="002B243B" w:rsidRPr="00DE4B0F" w:rsidRDefault="002B243B" w:rsidP="002202B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2B243B" w:rsidRPr="007A046B">
        <w:tc>
          <w:tcPr>
            <w:tcW w:w="9333" w:type="dxa"/>
          </w:tcPr>
          <w:p w:rsidR="002B243B" w:rsidRPr="007A046B" w:rsidRDefault="007132DA" w:rsidP="002202B2">
            <w:pPr>
              <w:rPr>
                <w:b/>
                <w:bCs/>
              </w:rPr>
            </w:pPr>
            <w:r>
              <w:rPr>
                <w:b/>
                <w:bCs/>
              </w:rPr>
              <w:t>1.6</w:t>
            </w:r>
            <w:r w:rsidR="002B243B" w:rsidRPr="007A046B">
              <w:rPr>
                <w:b/>
                <w:bCs/>
              </w:rPr>
              <w:t xml:space="preserve"> Mit welchem OPS wird die Methode verschlüsselt?</w:t>
            </w:r>
          </w:p>
        </w:tc>
      </w:tr>
      <w:tr w:rsidR="002B243B" w:rsidRPr="007A046B">
        <w:tc>
          <w:tcPr>
            <w:tcW w:w="9333" w:type="dxa"/>
          </w:tcPr>
          <w:p w:rsidR="002B243B" w:rsidRPr="001F7675" w:rsidRDefault="002E4AF3" w:rsidP="000E6923">
            <w:pPr>
              <w:pStyle w:val="HTMLVorformatiert"/>
              <w:rPr>
                <w:rFonts w:cs="Courier New"/>
                <w:bCs/>
                <w:lang w:val="de-DE" w:eastAsia="de-DE"/>
              </w:rPr>
            </w:pPr>
            <w:r w:rsidRPr="001F7675">
              <w:rPr>
                <w:rFonts w:ascii="Arial" w:hAnsi="Arial" w:cs="Arial"/>
                <w:bCs/>
                <w:sz w:val="22"/>
                <w:szCs w:val="22"/>
                <w:lang w:val="de-DE" w:eastAsia="de-DE"/>
              </w:rPr>
              <w:t>6-005.8 Applikation von Medikamenten: Everolimus, oral. Ein OPS-Kode zur verbrauchsbezogenen Erfassung</w:t>
            </w:r>
            <w:r w:rsidR="000E6923" w:rsidRPr="001F7675">
              <w:rPr>
                <w:rFonts w:ascii="Arial" w:hAnsi="Arial" w:cs="Arial"/>
                <w:bCs/>
                <w:sz w:val="22"/>
                <w:szCs w:val="22"/>
                <w:lang w:val="de-DE" w:eastAsia="de-DE"/>
              </w:rPr>
              <w:t xml:space="preserve"> </w:t>
            </w:r>
            <w:r w:rsidRPr="001F7675">
              <w:rPr>
                <w:rFonts w:ascii="Arial" w:hAnsi="Arial" w:cs="Arial"/>
                <w:bCs/>
                <w:sz w:val="22"/>
                <w:szCs w:val="22"/>
                <w:lang w:val="de-DE" w:eastAsia="de-DE"/>
              </w:rPr>
              <w:t>der Gabe von Everolimus (Votubia</w:t>
            </w:r>
            <w:r w:rsidRPr="0071417A">
              <w:rPr>
                <w:rFonts w:ascii="Arial" w:hAnsi="Arial" w:cs="Arial"/>
                <w:bCs/>
                <w:sz w:val="22"/>
                <w:szCs w:val="22"/>
                <w:vertAlign w:val="superscript"/>
                <w:lang w:val="de-DE" w:eastAsia="de-DE"/>
              </w:rPr>
              <w:t>®</w:t>
            </w:r>
            <w:r w:rsidRPr="001F7675">
              <w:rPr>
                <w:rFonts w:ascii="Arial" w:hAnsi="Arial" w:cs="Arial"/>
                <w:bCs/>
                <w:sz w:val="22"/>
                <w:szCs w:val="22"/>
                <w:lang w:val="de-DE" w:eastAsia="de-DE"/>
              </w:rPr>
              <w:t>) fehlt bisher.</w:t>
            </w:r>
          </w:p>
        </w:tc>
      </w:tr>
    </w:tbl>
    <w:p w:rsidR="00E66BC3" w:rsidRPr="00733DC6" w:rsidRDefault="00E66BC3" w:rsidP="002202B2">
      <w:pPr>
        <w:tabs>
          <w:tab w:val="num" w:pos="54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E66BC3" w:rsidRPr="007A046B">
        <w:tc>
          <w:tcPr>
            <w:tcW w:w="9333" w:type="dxa"/>
          </w:tcPr>
          <w:p w:rsidR="00E66BC3" w:rsidRPr="007A046B" w:rsidRDefault="00E66BC3" w:rsidP="007A046B">
            <w:pPr>
              <w:pBdr>
                <w:top w:val="single" w:sz="4" w:space="1" w:color="auto"/>
                <w:left w:val="single" w:sz="4" w:space="4" w:color="auto"/>
                <w:bottom w:val="single" w:sz="4" w:space="1" w:color="auto"/>
                <w:right w:val="single" w:sz="4" w:space="4" w:color="auto"/>
              </w:pBdr>
              <w:rPr>
                <w:b/>
                <w:bCs/>
              </w:rPr>
            </w:pPr>
            <w:r w:rsidRPr="007A046B">
              <w:rPr>
                <w:b/>
                <w:bCs/>
              </w:rPr>
              <w:t>2.1 Bei welchen Patienten wird die Methode angewandt (Indikation)?</w:t>
            </w:r>
          </w:p>
          <w:p w:rsidR="00E66BC3" w:rsidRPr="007A046B" w:rsidRDefault="002E4AF3" w:rsidP="002C7F46">
            <w:pPr>
              <w:autoSpaceDE w:val="0"/>
              <w:autoSpaceDN w:val="0"/>
              <w:adjustRightInd w:val="0"/>
              <w:jc w:val="both"/>
              <w:rPr>
                <w:b/>
              </w:rPr>
            </w:pPr>
            <w:r w:rsidRPr="000E6923">
              <w:t>Everolimus (Votubia</w:t>
            </w:r>
            <w:r w:rsidRPr="0071417A">
              <w:rPr>
                <w:vertAlign w:val="superscript"/>
              </w:rPr>
              <w:t>®</w:t>
            </w:r>
            <w:r w:rsidRPr="000E6923">
              <w:t xml:space="preserve">) wird bei Patienten mit subependymalem Riesenzellastrozytom </w:t>
            </w:r>
            <w:r w:rsidR="00587D98">
              <w:t xml:space="preserve">und7oder renalen Angiomyolipomen </w:t>
            </w:r>
            <w:r w:rsidRPr="000E6923">
              <w:t>aufgrund einer</w:t>
            </w:r>
            <w:r w:rsidR="000E6923">
              <w:t xml:space="preserve"> </w:t>
            </w:r>
            <w:r w:rsidRPr="000E6923">
              <w:t>tuberösen Sklerose angewendet, die eine therapeutische Maßnahme benötigen, für die aber ein chirurgischer</w:t>
            </w:r>
            <w:r w:rsidR="000E6923">
              <w:t xml:space="preserve"> </w:t>
            </w:r>
            <w:r w:rsidRPr="000E6923">
              <w:t>Eingriff nicht zumutbar ist oder eine Inoperabilität vorliegt.</w:t>
            </w:r>
          </w:p>
        </w:tc>
      </w:tr>
    </w:tbl>
    <w:p w:rsidR="0045256B" w:rsidRPr="00733DC6" w:rsidRDefault="0045256B"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45256B" w:rsidRPr="007A046B">
        <w:tc>
          <w:tcPr>
            <w:tcW w:w="9333" w:type="dxa"/>
          </w:tcPr>
          <w:p w:rsidR="0045256B" w:rsidRPr="007A046B" w:rsidRDefault="0045256B" w:rsidP="007A046B">
            <w:pPr>
              <w:tabs>
                <w:tab w:val="left" w:pos="360"/>
              </w:tabs>
              <w:autoSpaceDE w:val="0"/>
              <w:autoSpaceDN w:val="0"/>
              <w:adjustRightInd w:val="0"/>
              <w:jc w:val="both"/>
              <w:rPr>
                <w:b/>
              </w:rPr>
            </w:pPr>
            <w:r w:rsidRPr="007A046B">
              <w:rPr>
                <w:b/>
              </w:rPr>
              <w:t>2.2 Welche bestehende Methode wird durch die neue Methode abgelöst oder ergänzt?</w:t>
            </w:r>
          </w:p>
        </w:tc>
      </w:tr>
      <w:tr w:rsidR="0045256B" w:rsidRPr="007A046B">
        <w:tc>
          <w:tcPr>
            <w:tcW w:w="9333" w:type="dxa"/>
          </w:tcPr>
          <w:p w:rsidR="0045256B" w:rsidRPr="007A046B" w:rsidRDefault="002E4AF3" w:rsidP="000E6923">
            <w:pPr>
              <w:tabs>
                <w:tab w:val="left" w:pos="5220"/>
              </w:tabs>
              <w:jc w:val="both"/>
              <w:rPr>
                <w:b/>
              </w:rPr>
            </w:pPr>
            <w:r w:rsidRPr="000E6923">
              <w:t>Bis zur Zulassung von Everolimus (Votubia</w:t>
            </w:r>
            <w:r w:rsidRPr="0071417A">
              <w:rPr>
                <w:vertAlign w:val="superscript"/>
              </w:rPr>
              <w:t>®</w:t>
            </w:r>
            <w:r w:rsidRPr="000E6923">
              <w:t>) stand keine kausale Therapie für Patienten mit dieser Indikation zur</w:t>
            </w:r>
            <w:r w:rsidR="000E6923">
              <w:t xml:space="preserve"> </w:t>
            </w:r>
            <w:r w:rsidRPr="000E6923">
              <w:t>Verfügung.</w:t>
            </w:r>
          </w:p>
        </w:tc>
      </w:tr>
    </w:tbl>
    <w:p w:rsidR="005805ED" w:rsidRPr="00733DC6" w:rsidRDefault="005805ED" w:rsidP="002202B2">
      <w:pPr>
        <w:tabs>
          <w:tab w:val="left" w:pos="360"/>
        </w:tabs>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5805ED" w:rsidRPr="007A046B">
        <w:tc>
          <w:tcPr>
            <w:tcW w:w="9333" w:type="dxa"/>
          </w:tcPr>
          <w:p w:rsidR="005805ED" w:rsidRPr="007A046B" w:rsidRDefault="005805ED" w:rsidP="007A046B">
            <w:pPr>
              <w:tabs>
                <w:tab w:val="left" w:pos="360"/>
              </w:tabs>
              <w:autoSpaceDE w:val="0"/>
              <w:autoSpaceDN w:val="0"/>
              <w:adjustRightInd w:val="0"/>
              <w:jc w:val="both"/>
              <w:rPr>
                <w:b/>
              </w:rPr>
            </w:pPr>
            <w:r w:rsidRPr="007A046B">
              <w:rPr>
                <w:b/>
              </w:rPr>
              <w:t>2.3 Ist die Methode vollständig oder in Teilen neu und warum handelt es sich um eine neue Untersuchungs- und Behandlungsmethode?</w:t>
            </w:r>
          </w:p>
        </w:tc>
      </w:tr>
      <w:tr w:rsidR="005805ED" w:rsidRPr="007A046B">
        <w:tc>
          <w:tcPr>
            <w:tcW w:w="9333" w:type="dxa"/>
          </w:tcPr>
          <w:p w:rsidR="00A960FD" w:rsidRDefault="002E4AF3" w:rsidP="00B30358">
            <w:pPr>
              <w:jc w:val="both"/>
            </w:pPr>
            <w:r w:rsidRPr="000E6923">
              <w:t>Everolimus (Votubia</w:t>
            </w:r>
            <w:r w:rsidRPr="0071417A">
              <w:rPr>
                <w:vertAlign w:val="superscript"/>
              </w:rPr>
              <w:t>®</w:t>
            </w:r>
            <w:r w:rsidRPr="000E6923">
              <w:t>) ist die erste und einzige medikamentöse Therapie zur Behandlung von subependymalem Riesenzellastrozytom (SEGA) aufgrund einer tuberösen Sklerose. Der Wirksamkeitsnachweis basiert auf einer klinischen Studie, in der gezeigt werden konnte, dass Everolimus (Votubia</w:t>
            </w:r>
            <w:r w:rsidRPr="0071417A">
              <w:rPr>
                <w:vertAlign w:val="superscript"/>
              </w:rPr>
              <w:t>®</w:t>
            </w:r>
            <w:r w:rsidRPr="000E6923">
              <w:t>) das SEGA-Volumen signifikant</w:t>
            </w:r>
            <w:r w:rsidR="000E6923">
              <w:t xml:space="preserve"> </w:t>
            </w:r>
            <w:r w:rsidRPr="000E6923">
              <w:t>reduziert (p&lt;0,001) und gut toleriert wird. 75% der Patienten zeigten nach 6 Monaten eine Volumenreduktion um mindestens 30%, bei 32% der Betroffenen verkleinerten sich die Tumore sogar um mindestens 50%. Außerdem kam es zu einer signifikanten Reduktion de</w:t>
            </w:r>
            <w:r w:rsidR="00DC7D20">
              <w:t>r Anfallshäufigkeit (p = 0,02) [8, 9].</w:t>
            </w:r>
            <w:r w:rsidRPr="000E6923">
              <w:t xml:space="preserve"> Eine weltweit durchgeführte, Placebo-kontrollierte Phase III-Studie konnte die Wirksamkeit von Everoli</w:t>
            </w:r>
            <w:r w:rsidR="000E6923">
              <w:t>m</w:t>
            </w:r>
            <w:r w:rsidRPr="000E6923">
              <w:t xml:space="preserve">us bei SEGA hochsignifikant bestätigen </w:t>
            </w:r>
            <w:r w:rsidR="00DC7D20">
              <w:t>[7]</w:t>
            </w:r>
            <w:r w:rsidRPr="000E6923">
              <w:t>. In dieser Studie wurden auch Säuglinge eingeschlossen. Everolimus ist seit 20</w:t>
            </w:r>
            <w:r w:rsidR="00B30358">
              <w:t xml:space="preserve">11 zur Behandlung des </w:t>
            </w:r>
            <w:r w:rsidR="00B30358" w:rsidRPr="000E6923">
              <w:t xml:space="preserve">subependymalem Riesenzellastrozytom </w:t>
            </w:r>
            <w:r w:rsidR="00B30358">
              <w:t>bei tuberöser</w:t>
            </w:r>
            <w:r w:rsidR="00B30358" w:rsidRPr="000E6923">
              <w:t xml:space="preserve"> Sklerose </w:t>
            </w:r>
            <w:r w:rsidR="00A960FD">
              <w:t xml:space="preserve">für Patienten ab 3 Jahren </w:t>
            </w:r>
            <w:r w:rsidRPr="000E6923">
              <w:t>zugelassen</w:t>
            </w:r>
            <w:r w:rsidR="00A960FD">
              <w:t>, seit September 2013 besteht eine Zulassung für diese Indikation auch bei Patienten unter 3 Jahren.</w:t>
            </w:r>
          </w:p>
          <w:p w:rsidR="00587D98" w:rsidRDefault="00587D98" w:rsidP="00587D98">
            <w:pPr>
              <w:jc w:val="both"/>
            </w:pPr>
            <w:r w:rsidRPr="00587D98">
              <w:t>Darüber hinaus konnte jüngst in einer randomisierten Doppelblindstudie der Nutzen von Everolimus auch bei mit TSC assoziierten renalen Angiomyolipomen belegen, wo die objektive Ansprechrate bei 54% lag und Tumor-assoziierte Blutungen verhindert werden konnten. Everolimus (Votubia</w:t>
            </w:r>
            <w:r w:rsidRPr="00587D98">
              <w:rPr>
                <w:vertAlign w:val="superscript"/>
              </w:rPr>
              <w:t>®</w:t>
            </w:r>
            <w:r w:rsidRPr="00587D98">
              <w:t>) ist seit 2015 auch für diese Indikation zugelassen.</w:t>
            </w:r>
          </w:p>
          <w:p w:rsidR="005805ED" w:rsidRDefault="002E4AF3" w:rsidP="00A960FD">
            <w:pPr>
              <w:jc w:val="both"/>
            </w:pPr>
            <w:r w:rsidRPr="000E6923">
              <w:t>In den Informationen nach §6 Abs. 2 KHEntgG für 201</w:t>
            </w:r>
            <w:r w:rsidR="00B4620D">
              <w:t>6</w:t>
            </w:r>
            <w:r w:rsidRPr="000E6923">
              <w:t xml:space="preserve"> erhielt Everolimus für die Indikation Neoplasie den Status 1 (Position </w:t>
            </w:r>
            <w:r w:rsidR="00C525E8">
              <w:t>6</w:t>
            </w:r>
            <w:r w:rsidRPr="000E6923">
              <w:t>).</w:t>
            </w:r>
          </w:p>
          <w:p w:rsidR="00DC7D20" w:rsidRDefault="00DC7D20" w:rsidP="00A960FD">
            <w:pPr>
              <w:jc w:val="both"/>
            </w:pPr>
          </w:p>
          <w:p w:rsidR="00DC7D20" w:rsidRPr="007A046B" w:rsidRDefault="00DC7D20" w:rsidP="00A960FD">
            <w:pPr>
              <w:jc w:val="both"/>
              <w:rPr>
                <w:b/>
              </w:rPr>
            </w:pPr>
            <w:r>
              <w:t>Literatur: s. 1.3.</w:t>
            </w:r>
          </w:p>
        </w:tc>
      </w:tr>
    </w:tbl>
    <w:p w:rsidR="005805ED" w:rsidRPr="00733DC6" w:rsidRDefault="005805ED"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1801C2" w:rsidRPr="007A046B">
        <w:tc>
          <w:tcPr>
            <w:tcW w:w="9333" w:type="dxa"/>
          </w:tcPr>
          <w:p w:rsidR="001801C2" w:rsidRPr="007A046B" w:rsidRDefault="001801C2" w:rsidP="007A046B">
            <w:pPr>
              <w:tabs>
                <w:tab w:val="left" w:pos="360"/>
              </w:tabs>
              <w:autoSpaceDE w:val="0"/>
              <w:autoSpaceDN w:val="0"/>
              <w:adjustRightInd w:val="0"/>
              <w:jc w:val="both"/>
              <w:rPr>
                <w:b/>
              </w:rPr>
            </w:pPr>
            <w:r w:rsidRPr="007A046B">
              <w:rPr>
                <w:b/>
              </w:rPr>
              <w:t>2.4 Welche Auswirkung hat die Methode auf die Verweildauer im Krankenhaus?</w:t>
            </w:r>
          </w:p>
        </w:tc>
      </w:tr>
      <w:tr w:rsidR="001801C2" w:rsidRPr="007A046B">
        <w:tc>
          <w:tcPr>
            <w:tcW w:w="9333" w:type="dxa"/>
          </w:tcPr>
          <w:p w:rsidR="001801C2" w:rsidRPr="000E6923" w:rsidRDefault="002E4AF3" w:rsidP="008815F7">
            <w:r w:rsidRPr="000E6923">
              <w:t>Es gibt keine Erfahrungen zur Auswirkung auf die Verweildauer. Eine Auswirkung ist jedoch nicht wahrscheinlich.</w:t>
            </w:r>
          </w:p>
        </w:tc>
      </w:tr>
    </w:tbl>
    <w:p w:rsidR="00501D32" w:rsidRPr="00733DC6" w:rsidRDefault="00501D32"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3031C7" w:rsidRPr="007A046B">
        <w:tc>
          <w:tcPr>
            <w:tcW w:w="9333" w:type="dxa"/>
          </w:tcPr>
          <w:p w:rsidR="003031C7" w:rsidRPr="007A046B" w:rsidRDefault="003031C7" w:rsidP="007A046B">
            <w:pPr>
              <w:tabs>
                <w:tab w:val="left" w:pos="360"/>
              </w:tabs>
              <w:autoSpaceDE w:val="0"/>
              <w:autoSpaceDN w:val="0"/>
              <w:adjustRightInd w:val="0"/>
              <w:jc w:val="both"/>
              <w:rPr>
                <w:b/>
              </w:rPr>
            </w:pPr>
            <w:r w:rsidRPr="007A046B">
              <w:rPr>
                <w:b/>
              </w:rPr>
              <w:lastRenderedPageBreak/>
              <w:t>3.1 Wann wurde diese Methode in Deutschland eingeführt?</w:t>
            </w:r>
          </w:p>
        </w:tc>
      </w:tr>
      <w:tr w:rsidR="003031C7" w:rsidRPr="007A046B">
        <w:tc>
          <w:tcPr>
            <w:tcW w:w="9333" w:type="dxa"/>
          </w:tcPr>
          <w:p w:rsidR="002E4AF3" w:rsidRPr="000E6923" w:rsidRDefault="002E4AF3" w:rsidP="002E4AF3">
            <w:pPr>
              <w:jc w:val="both"/>
            </w:pPr>
            <w:r w:rsidRPr="000E6923">
              <w:t>Der Einsatz von Everolimus (Votubia</w:t>
            </w:r>
            <w:r w:rsidRPr="0071417A">
              <w:rPr>
                <w:vertAlign w:val="superscript"/>
              </w:rPr>
              <w:t>®</w:t>
            </w:r>
            <w:r w:rsidRPr="000E6923">
              <w:t>) zur Behandlung von Patienten mit subependymalem</w:t>
            </w:r>
          </w:p>
          <w:p w:rsidR="003031C7" w:rsidRPr="007A046B" w:rsidRDefault="002E4AF3" w:rsidP="000E6923">
            <w:pPr>
              <w:jc w:val="both"/>
              <w:rPr>
                <w:b/>
              </w:rPr>
            </w:pPr>
            <w:r w:rsidRPr="000E6923">
              <w:t>Riesenzellastrozytom aufgrund einer tuberösen Sklerose erfolgte im Rahmen klinischer Studien seit 2009. In der</w:t>
            </w:r>
            <w:r w:rsidR="000E6923">
              <w:t xml:space="preserve"> </w:t>
            </w:r>
            <w:r w:rsidRPr="000E6923">
              <w:t>Versorgung wird Everolimus (Votubia</w:t>
            </w:r>
            <w:r w:rsidRPr="0071417A">
              <w:rPr>
                <w:vertAlign w:val="superscript"/>
              </w:rPr>
              <w:t>®</w:t>
            </w:r>
            <w:r w:rsidRPr="000E6923">
              <w:t>) seit September 2011 eingesetzt.</w:t>
            </w:r>
          </w:p>
        </w:tc>
      </w:tr>
    </w:tbl>
    <w:p w:rsidR="001801C2" w:rsidRPr="00733DC6" w:rsidRDefault="001801C2"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7E5FB3" w:rsidRPr="007A046B">
        <w:tc>
          <w:tcPr>
            <w:tcW w:w="9333" w:type="dxa"/>
          </w:tcPr>
          <w:p w:rsidR="007E5FB3" w:rsidRPr="007A046B" w:rsidRDefault="007E5FB3" w:rsidP="007A046B">
            <w:pPr>
              <w:tabs>
                <w:tab w:val="left" w:pos="360"/>
              </w:tabs>
              <w:autoSpaceDE w:val="0"/>
              <w:autoSpaceDN w:val="0"/>
              <w:adjustRightInd w:val="0"/>
              <w:jc w:val="both"/>
              <w:rPr>
                <w:b/>
              </w:rPr>
            </w:pPr>
            <w:r w:rsidRPr="007A046B">
              <w:rPr>
                <w:b/>
              </w:rPr>
              <w:t>3.2 Bei Medikamenten: Wann wurde dieses Medikament zugelassen?</w:t>
            </w:r>
          </w:p>
        </w:tc>
      </w:tr>
      <w:tr w:rsidR="007E5FB3" w:rsidRPr="007A046B">
        <w:tc>
          <w:tcPr>
            <w:tcW w:w="9333" w:type="dxa"/>
          </w:tcPr>
          <w:p w:rsidR="007E5FB3" w:rsidRDefault="002E4AF3" w:rsidP="008815F7">
            <w:pPr>
              <w:jc w:val="both"/>
            </w:pPr>
            <w:r w:rsidRPr="000E6923">
              <w:t>September 2011, Orphan drug Status durch EMA 10.08.2010 für SEGA/Tuberöse Sklerose</w:t>
            </w:r>
          </w:p>
          <w:p w:rsidR="00587D98" w:rsidRPr="000E6923" w:rsidRDefault="00587D98" w:rsidP="008815F7">
            <w:pPr>
              <w:jc w:val="both"/>
            </w:pPr>
            <w:r>
              <w:t>Juli 2015, Zulassung auch für renale Angiomyolipome/Tuberöse Sklerose</w:t>
            </w:r>
          </w:p>
        </w:tc>
      </w:tr>
    </w:tbl>
    <w:p w:rsidR="007E5FB3" w:rsidRPr="00733DC6" w:rsidRDefault="007E5FB3"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7E5FB3" w:rsidRPr="007A046B">
        <w:tc>
          <w:tcPr>
            <w:tcW w:w="9333" w:type="dxa"/>
          </w:tcPr>
          <w:p w:rsidR="007E5FB3" w:rsidRPr="007A046B" w:rsidRDefault="007E5FB3" w:rsidP="007A046B">
            <w:pPr>
              <w:tabs>
                <w:tab w:val="left" w:pos="360"/>
              </w:tabs>
              <w:autoSpaceDE w:val="0"/>
              <w:autoSpaceDN w:val="0"/>
              <w:adjustRightInd w:val="0"/>
              <w:jc w:val="both"/>
              <w:rPr>
                <w:b/>
              </w:rPr>
            </w:pPr>
            <w:r w:rsidRPr="007A046B">
              <w:rPr>
                <w:b/>
              </w:rPr>
              <w:t>3.3 Wann wurde bzw. wird die Methode in Ihrem Krankenhaus eingeführt?</w:t>
            </w:r>
          </w:p>
        </w:tc>
      </w:tr>
      <w:tr w:rsidR="007E5FB3" w:rsidRPr="007A046B">
        <w:tc>
          <w:tcPr>
            <w:tcW w:w="9333" w:type="dxa"/>
          </w:tcPr>
          <w:p w:rsidR="007E5FB3" w:rsidRPr="000E6923" w:rsidRDefault="00204B07" w:rsidP="007A046B">
            <w:pPr>
              <w:tabs>
                <w:tab w:val="left" w:pos="360"/>
              </w:tabs>
              <w:autoSpaceDE w:val="0"/>
              <w:autoSpaceDN w:val="0"/>
              <w:adjustRightInd w:val="0"/>
              <w:jc w:val="both"/>
            </w:pPr>
            <w:r>
              <w:rPr>
                <w:highlight w:val="yellow"/>
              </w:rPr>
              <w:t xml:space="preserve">Bitte ergänzen: z.B. </w:t>
            </w:r>
            <w:r w:rsidR="000E6923" w:rsidRPr="000E6923">
              <w:rPr>
                <w:highlight w:val="yellow"/>
              </w:rPr>
              <w:t>I</w:t>
            </w:r>
            <w:r w:rsidR="002E4AF3" w:rsidRPr="000E6923">
              <w:rPr>
                <w:highlight w:val="yellow"/>
              </w:rPr>
              <w:t>m Rahmen der EXIST1 Studie seit 04/</w:t>
            </w:r>
            <w:r w:rsidR="002E4AF3" w:rsidRPr="00204B07">
              <w:rPr>
                <w:highlight w:val="yellow"/>
              </w:rPr>
              <w:t>2010</w:t>
            </w:r>
            <w:r w:rsidRPr="00204B07">
              <w:rPr>
                <w:highlight w:val="yellow"/>
              </w:rPr>
              <w:t xml:space="preserve"> oder bisher nicht</w:t>
            </w:r>
          </w:p>
        </w:tc>
      </w:tr>
    </w:tbl>
    <w:p w:rsidR="007E5FB3" w:rsidRPr="00733DC6" w:rsidRDefault="007E5FB3"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7E5FB3" w:rsidRPr="007A046B">
        <w:tc>
          <w:tcPr>
            <w:tcW w:w="9333" w:type="dxa"/>
          </w:tcPr>
          <w:p w:rsidR="007E5FB3" w:rsidRPr="007A046B" w:rsidRDefault="007E5FB3" w:rsidP="007A046B">
            <w:pPr>
              <w:tabs>
                <w:tab w:val="left" w:pos="360"/>
              </w:tabs>
              <w:autoSpaceDE w:val="0"/>
              <w:autoSpaceDN w:val="0"/>
              <w:adjustRightInd w:val="0"/>
              <w:jc w:val="both"/>
              <w:rPr>
                <w:b/>
              </w:rPr>
            </w:pPr>
            <w:r w:rsidRPr="007A046B">
              <w:rPr>
                <w:b/>
              </w:rPr>
              <w:t>3.4. In wie vielen Kliniken wird diese Methode zurzeit eingesetzt (Schätzung)?</w:t>
            </w:r>
          </w:p>
        </w:tc>
      </w:tr>
      <w:tr w:rsidR="007E5FB3" w:rsidRPr="007A046B">
        <w:tc>
          <w:tcPr>
            <w:tcW w:w="9193" w:type="dxa"/>
          </w:tcPr>
          <w:p w:rsidR="007E5FB3" w:rsidRPr="007A046B" w:rsidRDefault="00A960FD" w:rsidP="00A960FD">
            <w:pPr>
              <w:tabs>
                <w:tab w:val="left" w:pos="360"/>
              </w:tabs>
              <w:autoSpaceDE w:val="0"/>
              <w:autoSpaceDN w:val="0"/>
              <w:adjustRightInd w:val="0"/>
              <w:jc w:val="both"/>
              <w:rPr>
                <w:b/>
              </w:rPr>
            </w:pPr>
            <w:r>
              <w:t xml:space="preserve">Hierzu liegen keine Informationen vor. </w:t>
            </w:r>
            <w:r w:rsidR="002E4AF3" w:rsidRPr="002E4AF3">
              <w:t xml:space="preserve">Im Rahmen der EFFECTS Studie </w:t>
            </w:r>
            <w:r w:rsidR="000E6923">
              <w:t>haben ca</w:t>
            </w:r>
            <w:r>
              <w:t>.</w:t>
            </w:r>
            <w:r w:rsidR="000E6923">
              <w:t xml:space="preserve"> 15 Kliniken rekrutiert</w:t>
            </w:r>
            <w:r w:rsidR="002E4AF3" w:rsidRPr="002E4AF3">
              <w:t xml:space="preserve">, zukünftig dürften mehr </w:t>
            </w:r>
            <w:r>
              <w:t xml:space="preserve">Kliniken in der Behandlung dieser Patienten beteiligt </w:t>
            </w:r>
            <w:r w:rsidR="002E4AF3" w:rsidRPr="002E4AF3">
              <w:t>sein.</w:t>
            </w:r>
          </w:p>
        </w:tc>
      </w:tr>
    </w:tbl>
    <w:p w:rsidR="00501D32" w:rsidRPr="00733DC6" w:rsidRDefault="00501D32"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AA6825" w:rsidRPr="007A046B">
        <w:tc>
          <w:tcPr>
            <w:tcW w:w="9333" w:type="dxa"/>
          </w:tcPr>
          <w:p w:rsidR="00AA6825" w:rsidRPr="007A046B" w:rsidRDefault="00AA6825" w:rsidP="00E4513F">
            <w:pPr>
              <w:tabs>
                <w:tab w:val="left" w:pos="360"/>
              </w:tabs>
              <w:autoSpaceDE w:val="0"/>
              <w:autoSpaceDN w:val="0"/>
              <w:adjustRightInd w:val="0"/>
              <w:jc w:val="both"/>
              <w:rPr>
                <w:b/>
              </w:rPr>
            </w:pPr>
            <w:r w:rsidRPr="007A046B">
              <w:rPr>
                <w:b/>
                <w:bCs/>
              </w:rPr>
              <w:t>3.5 Wie viele Patienten wurden in Ihrem Krankenhaus in 20</w:t>
            </w:r>
            <w:r w:rsidR="00844256">
              <w:rPr>
                <w:b/>
                <w:bCs/>
              </w:rPr>
              <w:t>1</w:t>
            </w:r>
            <w:r w:rsidR="00166CA6">
              <w:rPr>
                <w:b/>
                <w:bCs/>
              </w:rPr>
              <w:t>6</w:t>
            </w:r>
            <w:r w:rsidRPr="007A046B">
              <w:rPr>
                <w:b/>
                <w:bCs/>
              </w:rPr>
              <w:t xml:space="preserve"> oder in 201</w:t>
            </w:r>
            <w:r w:rsidR="00166CA6">
              <w:rPr>
                <w:b/>
                <w:bCs/>
              </w:rPr>
              <w:t>7</w:t>
            </w:r>
            <w:r w:rsidRPr="007A046B">
              <w:rPr>
                <w:b/>
                <w:bCs/>
              </w:rPr>
              <w:t xml:space="preserve"> mit dieser Methode behandelt?</w:t>
            </w:r>
          </w:p>
        </w:tc>
      </w:tr>
      <w:tr w:rsidR="00AA6825" w:rsidRPr="007A046B">
        <w:tc>
          <w:tcPr>
            <w:tcW w:w="9333" w:type="dxa"/>
          </w:tcPr>
          <w:p w:rsidR="00AA6825" w:rsidRPr="007A046B" w:rsidRDefault="00AA6825" w:rsidP="00E4513F">
            <w:pPr>
              <w:tabs>
                <w:tab w:val="left" w:pos="360"/>
              </w:tabs>
              <w:autoSpaceDE w:val="0"/>
              <w:autoSpaceDN w:val="0"/>
              <w:adjustRightInd w:val="0"/>
              <w:jc w:val="both"/>
              <w:rPr>
                <w:b/>
              </w:rPr>
            </w:pPr>
            <w:r w:rsidRPr="007A046B">
              <w:rPr>
                <w:b/>
              </w:rPr>
              <w:t>20</w:t>
            </w:r>
            <w:r w:rsidR="00844256">
              <w:rPr>
                <w:b/>
              </w:rPr>
              <w:t>1</w:t>
            </w:r>
            <w:r w:rsidR="00166CA6">
              <w:rPr>
                <w:b/>
              </w:rPr>
              <w:t>6</w:t>
            </w:r>
            <w:r w:rsidRPr="007A046B">
              <w:rPr>
                <w:b/>
              </w:rPr>
              <w:t xml:space="preserve">: </w:t>
            </w:r>
            <w:r w:rsidRPr="007A046B">
              <w:rPr>
                <w:b/>
                <w:highlight w:val="yellow"/>
              </w:rPr>
              <w:t>XXXX</w:t>
            </w:r>
          </w:p>
        </w:tc>
      </w:tr>
      <w:tr w:rsidR="00AA6825" w:rsidRPr="007A046B">
        <w:tc>
          <w:tcPr>
            <w:tcW w:w="9179" w:type="dxa"/>
          </w:tcPr>
          <w:p w:rsidR="00AA6825" w:rsidRPr="007A046B" w:rsidRDefault="00AA6825" w:rsidP="00E4513F">
            <w:pPr>
              <w:tabs>
                <w:tab w:val="left" w:pos="360"/>
              </w:tabs>
              <w:autoSpaceDE w:val="0"/>
              <w:autoSpaceDN w:val="0"/>
              <w:adjustRightInd w:val="0"/>
              <w:jc w:val="both"/>
              <w:rPr>
                <w:b/>
              </w:rPr>
            </w:pPr>
            <w:r w:rsidRPr="007A046B">
              <w:rPr>
                <w:b/>
              </w:rPr>
              <w:t>201</w:t>
            </w:r>
            <w:r w:rsidR="00166CA6">
              <w:rPr>
                <w:b/>
              </w:rPr>
              <w:t>7</w:t>
            </w:r>
            <w:r w:rsidRPr="007A046B">
              <w:rPr>
                <w:b/>
              </w:rPr>
              <w:t xml:space="preserve">: </w:t>
            </w:r>
            <w:r w:rsidRPr="007A046B">
              <w:rPr>
                <w:b/>
                <w:highlight w:val="yellow"/>
              </w:rPr>
              <w:t>XXXX</w:t>
            </w:r>
          </w:p>
        </w:tc>
      </w:tr>
    </w:tbl>
    <w:p w:rsidR="007E5FB3" w:rsidRPr="00733DC6" w:rsidRDefault="007E5FB3"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AA6825" w:rsidRPr="007A046B">
        <w:tc>
          <w:tcPr>
            <w:tcW w:w="9333" w:type="dxa"/>
          </w:tcPr>
          <w:p w:rsidR="00AA6825" w:rsidRPr="007A046B" w:rsidRDefault="00AA6825" w:rsidP="00E4513F">
            <w:pPr>
              <w:tabs>
                <w:tab w:val="left" w:pos="360"/>
              </w:tabs>
              <w:autoSpaceDE w:val="0"/>
              <w:autoSpaceDN w:val="0"/>
              <w:adjustRightInd w:val="0"/>
              <w:jc w:val="both"/>
              <w:rPr>
                <w:b/>
              </w:rPr>
            </w:pPr>
            <w:r w:rsidRPr="007A046B">
              <w:rPr>
                <w:b/>
                <w:bCs/>
              </w:rPr>
              <w:t>3.6 Wie viele Patienten planen Sie im Jahr 201</w:t>
            </w:r>
            <w:r w:rsidR="00166CA6">
              <w:rPr>
                <w:b/>
                <w:bCs/>
              </w:rPr>
              <w:t>8</w:t>
            </w:r>
            <w:r w:rsidRPr="007A046B">
              <w:rPr>
                <w:b/>
                <w:bCs/>
              </w:rPr>
              <w:t xml:space="preserve"> mit dieser Methode zu behandeln?</w:t>
            </w:r>
          </w:p>
        </w:tc>
      </w:tr>
      <w:tr w:rsidR="00AA6825" w:rsidRPr="007A046B">
        <w:tc>
          <w:tcPr>
            <w:tcW w:w="9333" w:type="dxa"/>
          </w:tcPr>
          <w:p w:rsidR="00AA6825" w:rsidRPr="007A046B" w:rsidRDefault="00AA6825" w:rsidP="00E4513F">
            <w:pPr>
              <w:tabs>
                <w:tab w:val="left" w:pos="360"/>
              </w:tabs>
              <w:autoSpaceDE w:val="0"/>
              <w:autoSpaceDN w:val="0"/>
              <w:adjustRightInd w:val="0"/>
              <w:jc w:val="both"/>
              <w:rPr>
                <w:b/>
              </w:rPr>
            </w:pPr>
            <w:r w:rsidRPr="007A046B">
              <w:rPr>
                <w:b/>
              </w:rPr>
              <w:t>201</w:t>
            </w:r>
            <w:r w:rsidR="00166CA6">
              <w:rPr>
                <w:b/>
              </w:rPr>
              <w:t>8</w:t>
            </w:r>
            <w:r w:rsidR="00E17365" w:rsidRPr="007A046B">
              <w:rPr>
                <w:b/>
              </w:rPr>
              <w:t>:</w:t>
            </w:r>
            <w:r w:rsidRPr="007A046B">
              <w:rPr>
                <w:b/>
              </w:rPr>
              <w:t xml:space="preserve"> </w:t>
            </w:r>
            <w:r w:rsidRPr="007A046B">
              <w:rPr>
                <w:b/>
                <w:highlight w:val="yellow"/>
              </w:rPr>
              <w:t>XXXX</w:t>
            </w:r>
          </w:p>
        </w:tc>
      </w:tr>
    </w:tbl>
    <w:p w:rsidR="007E5FB3" w:rsidRPr="00733DC6" w:rsidRDefault="007E5FB3"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AA6825" w:rsidRPr="007A046B">
        <w:tc>
          <w:tcPr>
            <w:tcW w:w="9333" w:type="dxa"/>
          </w:tcPr>
          <w:p w:rsidR="00AA6825" w:rsidRPr="007A046B" w:rsidRDefault="001B288A" w:rsidP="008926E0">
            <w:pPr>
              <w:autoSpaceDE w:val="0"/>
              <w:autoSpaceDN w:val="0"/>
              <w:adjustRightInd w:val="0"/>
              <w:jc w:val="both"/>
              <w:rPr>
                <w:b/>
              </w:rPr>
            </w:pPr>
            <w:r w:rsidRPr="007A046B">
              <w:rPr>
                <w:b/>
                <w:bCs/>
              </w:rPr>
              <w:t xml:space="preserve">4.1 Entstehen durch die neue Methode Mehrkosten gegenüber dem bisher üblichen Verfahren? Wenn ja, wodurch? In welcher Höhe (möglichst aufgetrennt nach </w:t>
            </w:r>
            <w:r w:rsidR="008926E0">
              <w:rPr>
                <w:b/>
                <w:bCs/>
              </w:rPr>
              <w:t>Personal</w:t>
            </w:r>
            <w:r w:rsidRPr="007A046B">
              <w:rPr>
                <w:b/>
                <w:bCs/>
              </w:rPr>
              <w:t xml:space="preserve">- und </w:t>
            </w:r>
            <w:r w:rsidR="008926E0">
              <w:rPr>
                <w:b/>
                <w:bCs/>
              </w:rPr>
              <w:t>Sach</w:t>
            </w:r>
            <w:r w:rsidRPr="007A046B">
              <w:rPr>
                <w:b/>
                <w:bCs/>
              </w:rPr>
              <w:t>kosten)?</w:t>
            </w:r>
          </w:p>
        </w:tc>
      </w:tr>
      <w:tr w:rsidR="00AA6825" w:rsidRPr="007A046B">
        <w:tc>
          <w:tcPr>
            <w:tcW w:w="9333" w:type="dxa"/>
          </w:tcPr>
          <w:p w:rsidR="00844256" w:rsidRPr="009A2786" w:rsidRDefault="002E4AF3" w:rsidP="002E4AF3">
            <w:r>
              <w:t>Die Behandlung mit Everolimus (Votubia</w:t>
            </w:r>
            <w:r w:rsidRPr="0071417A">
              <w:rPr>
                <w:vertAlign w:val="superscript"/>
              </w:rPr>
              <w:t>®</w:t>
            </w:r>
            <w:r>
              <w:t>) erfolgt als orale Dauertherapie, bei der eine Everolimus</w:t>
            </w:r>
            <w:r w:rsidR="000E6923">
              <w:t xml:space="preserve"> </w:t>
            </w:r>
            <w:r>
              <w:t>Talkonzentration im Blut von 5 bis 15 ng/ml erreicht werden soll.</w:t>
            </w:r>
            <w:r w:rsidR="000E6923">
              <w:t xml:space="preserve"> </w:t>
            </w:r>
            <w:r>
              <w:t>In der klinischen Studie war dazu im Mittel die Gabe von rund 7,5 mg Everolimus (Votubia</w:t>
            </w:r>
            <w:r w:rsidRPr="0071417A">
              <w:rPr>
                <w:vertAlign w:val="superscript"/>
              </w:rPr>
              <w:t>®</w:t>
            </w:r>
            <w:r>
              <w:t xml:space="preserve">) pro Tag </w:t>
            </w:r>
            <w:r w:rsidR="000E6923">
              <w:t>e</w:t>
            </w:r>
            <w:r>
              <w:t>rforderlich.</w:t>
            </w:r>
            <w:r w:rsidR="000E6923">
              <w:t xml:space="preserve"> </w:t>
            </w:r>
            <w:r>
              <w:t xml:space="preserve">Die Behandlung führt zu Mehrkosten: Die mittleren Sachkosten (Arzneimittelkosten) betragen je 5 mg </w:t>
            </w:r>
            <w:r w:rsidR="00166CA6">
              <w:t>ca. 106</w:t>
            </w:r>
            <w:r>
              <w:t xml:space="preserve"> €</w:t>
            </w:r>
            <w:r w:rsidR="00650D8E">
              <w:t xml:space="preserve"> (inkl. Mwst.)</w:t>
            </w:r>
            <w:r>
              <w:t>, d.h.</w:t>
            </w:r>
            <w:r w:rsidR="000E6923">
              <w:t xml:space="preserve"> </w:t>
            </w:r>
            <w:r>
              <w:t xml:space="preserve">bei mittlerer Tagesdosis von 7,5 mg rund </w:t>
            </w:r>
            <w:r w:rsidR="00166CA6">
              <w:t>159</w:t>
            </w:r>
            <w:r>
              <w:t xml:space="preserve"> €/Tag (inkl</w:t>
            </w:r>
            <w:r w:rsidR="00650D8E">
              <w:t>. Mwst.</w:t>
            </w:r>
            <w:r>
              <w:t>).</w:t>
            </w:r>
            <w:r w:rsidR="000E6923">
              <w:t xml:space="preserve"> </w:t>
            </w:r>
            <w:r>
              <w:t>Aufgrund der oralen Verabreichung werden die zusätzlich anfallenden Personalkosten als vernachlässigbar</w:t>
            </w:r>
            <w:r w:rsidR="000E6923">
              <w:t xml:space="preserve"> </w:t>
            </w:r>
            <w:r>
              <w:t xml:space="preserve">angesehen (ca. 5 </w:t>
            </w:r>
            <w:r w:rsidR="000E6923">
              <w:t>A</w:t>
            </w:r>
            <w:r>
              <w:t>rztminuten/Tag, ca. 5 Pflegeminuten/Tag).</w:t>
            </w:r>
          </w:p>
          <w:p w:rsidR="00AA6825" w:rsidRPr="007A046B" w:rsidRDefault="00AA6825" w:rsidP="005F6BD4">
            <w:pPr>
              <w:jc w:val="both"/>
              <w:rPr>
                <w:b/>
              </w:rPr>
            </w:pPr>
          </w:p>
        </w:tc>
      </w:tr>
    </w:tbl>
    <w:p w:rsidR="00AA6825" w:rsidRPr="00733DC6" w:rsidRDefault="00AA6825"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AA6825" w:rsidRPr="007A046B">
        <w:tc>
          <w:tcPr>
            <w:tcW w:w="9333" w:type="dxa"/>
          </w:tcPr>
          <w:p w:rsidR="00AA6825" w:rsidRPr="007A046B" w:rsidRDefault="0064111C" w:rsidP="007A046B">
            <w:pPr>
              <w:tabs>
                <w:tab w:val="left" w:pos="360"/>
              </w:tabs>
              <w:autoSpaceDE w:val="0"/>
              <w:autoSpaceDN w:val="0"/>
              <w:adjustRightInd w:val="0"/>
              <w:jc w:val="both"/>
              <w:rPr>
                <w:b/>
              </w:rPr>
            </w:pPr>
            <w:r w:rsidRPr="007A046B">
              <w:rPr>
                <w:b/>
                <w:bCs/>
              </w:rPr>
              <w:t>4.2 Welche DRG(s) ist/sind am häufigsten von dieser Methode betroffen?</w:t>
            </w:r>
          </w:p>
        </w:tc>
      </w:tr>
      <w:tr w:rsidR="00AA6825" w:rsidRPr="007A046B">
        <w:tc>
          <w:tcPr>
            <w:tcW w:w="9333" w:type="dxa"/>
          </w:tcPr>
          <w:p w:rsidR="00AA6825" w:rsidRPr="007A046B" w:rsidRDefault="002E4AF3" w:rsidP="000E6923">
            <w:pPr>
              <w:tabs>
                <w:tab w:val="left" w:pos="360"/>
              </w:tabs>
              <w:autoSpaceDE w:val="0"/>
              <w:autoSpaceDN w:val="0"/>
              <w:adjustRightInd w:val="0"/>
              <w:jc w:val="both"/>
              <w:rPr>
                <w:b/>
              </w:rPr>
            </w:pPr>
            <w:r w:rsidRPr="000E6923">
              <w:t>B66A, B66B, B66D sowie andere DRGs, wenn die Behandlung mit Everolimus (Votubia</w:t>
            </w:r>
            <w:r w:rsidRPr="0071417A">
              <w:rPr>
                <w:vertAlign w:val="superscript"/>
              </w:rPr>
              <w:t>®)</w:t>
            </w:r>
            <w:r w:rsidRPr="000E6923">
              <w:t xml:space="preserve"> während der</w:t>
            </w:r>
            <w:r w:rsidR="000E6923">
              <w:t xml:space="preserve"> </w:t>
            </w:r>
            <w:r w:rsidRPr="000E6923">
              <w:t>stationären Behandlung aufgrund einer anderen Erkrankung fortgesetzt wird.</w:t>
            </w:r>
          </w:p>
        </w:tc>
      </w:tr>
    </w:tbl>
    <w:p w:rsidR="0064111C" w:rsidRPr="00733DC6" w:rsidRDefault="0064111C" w:rsidP="002202B2">
      <w:pPr>
        <w:tabs>
          <w:tab w:val="left" w:pos="360"/>
        </w:tabs>
        <w:autoSpaceDE w:val="0"/>
        <w:autoSpaceDN w:val="0"/>
        <w:adjustRightInd w:val="0"/>
        <w:ind w:left="357" w:hanging="357"/>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64111C" w:rsidRPr="007A046B">
        <w:tc>
          <w:tcPr>
            <w:tcW w:w="9333" w:type="dxa"/>
          </w:tcPr>
          <w:p w:rsidR="0064111C" w:rsidRPr="007A046B" w:rsidRDefault="0064111C" w:rsidP="007A046B">
            <w:pPr>
              <w:tabs>
                <w:tab w:val="left" w:pos="360"/>
              </w:tabs>
              <w:autoSpaceDE w:val="0"/>
              <w:autoSpaceDN w:val="0"/>
              <w:adjustRightInd w:val="0"/>
              <w:jc w:val="both"/>
              <w:rPr>
                <w:b/>
              </w:rPr>
            </w:pPr>
            <w:r w:rsidRPr="007A046B">
              <w:rPr>
                <w:b/>
                <w:bCs/>
              </w:rPr>
              <w:t>4.3 Warum ist diese Methode aus Ihrer Sicht derzeit im G-DRG-System nicht sachgerecht abgebildet?</w:t>
            </w:r>
          </w:p>
        </w:tc>
      </w:tr>
      <w:tr w:rsidR="0064111C" w:rsidRPr="007A046B">
        <w:tc>
          <w:tcPr>
            <w:tcW w:w="9333" w:type="dxa"/>
          </w:tcPr>
          <w:p w:rsidR="00262CF6" w:rsidRPr="00733DC6" w:rsidRDefault="002E4AF3" w:rsidP="00587D98">
            <w:pPr>
              <w:autoSpaceDE w:val="0"/>
              <w:autoSpaceDN w:val="0"/>
              <w:adjustRightInd w:val="0"/>
              <w:jc w:val="both"/>
            </w:pPr>
            <w:r>
              <w:t xml:space="preserve">Die </w:t>
            </w:r>
            <w:r w:rsidR="00D36D69">
              <w:t>Erstz</w:t>
            </w:r>
            <w:r>
              <w:t>ulassung von Everolimus (Votubia</w:t>
            </w:r>
            <w:r w:rsidRPr="0071417A">
              <w:rPr>
                <w:vertAlign w:val="superscript"/>
              </w:rPr>
              <w:t>®</w:t>
            </w:r>
            <w:r>
              <w:t xml:space="preserve">) zur Behandlung von Patienten mit subependymalem Riesenzellastrozytom aufgrund einer tuberösen Sklerose erfolgte im September 2011. </w:t>
            </w:r>
            <w:r w:rsidR="00D36D69">
              <w:t>Im September 2013 wurde die Zulassung in dieser Indikation auf das</w:t>
            </w:r>
            <w:r w:rsidR="00E305B6">
              <w:t xml:space="preserve"> Alter unter 3 Jahre </w:t>
            </w:r>
            <w:r w:rsidR="00587D98" w:rsidRPr="00587D98">
              <w:t xml:space="preserve">und im Juli 2015 auf die Behandlung des renalen Angiomyolipoms bei </w:t>
            </w:r>
            <w:r w:rsidR="00587D98" w:rsidRPr="00587D98">
              <w:lastRenderedPageBreak/>
              <w:t xml:space="preserve">Tuberöser Sklerose erweitert. Aufgrund der Seltenheit der Erkrankung konnten bisher keinerlei Kosten- und Leistungsinformationen im G-DRG-Fallpauschalen-Katalog 2015 </w:t>
            </w:r>
            <w:r w:rsidR="00166CA6">
              <w:t xml:space="preserve">, 2016 und 2017 </w:t>
            </w:r>
            <w:r w:rsidR="00587D98" w:rsidRPr="00587D98">
              <w:t>berücksichtigt werden.</w:t>
            </w:r>
            <w:r w:rsidR="00587D98">
              <w:t xml:space="preserve"> </w:t>
            </w:r>
            <w:r>
              <w:t>Mit zusätzlichen Arzneimittelkosten von rund 1</w:t>
            </w:r>
            <w:r w:rsidR="00650D8E">
              <w:t>59</w:t>
            </w:r>
            <w:r>
              <w:t xml:space="preserve"> €/ pro Tag wird die Therapie mit</w:t>
            </w:r>
            <w:r w:rsidR="006A2C8C">
              <w:t xml:space="preserve"> </w:t>
            </w:r>
            <w:r>
              <w:t>Everolimus (Votubia</w:t>
            </w:r>
            <w:r w:rsidRPr="0071417A">
              <w:rPr>
                <w:vertAlign w:val="superscript"/>
              </w:rPr>
              <w:t>®</w:t>
            </w:r>
            <w:r>
              <w:t>) über die Fallpauschale allein nicht ausreichend vergütet.</w:t>
            </w:r>
          </w:p>
        </w:tc>
      </w:tr>
    </w:tbl>
    <w:p w:rsidR="0064111C" w:rsidRPr="00733DC6" w:rsidRDefault="0064111C" w:rsidP="002202B2">
      <w:pPr>
        <w:tabs>
          <w:tab w:val="left" w:pos="360"/>
        </w:tabs>
        <w:autoSpaceDE w:val="0"/>
        <w:autoSpaceDN w:val="0"/>
        <w:adjustRightInd w:val="0"/>
        <w:ind w:left="357" w:hanging="357"/>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64111C" w:rsidRPr="007A046B">
        <w:tc>
          <w:tcPr>
            <w:tcW w:w="9333" w:type="dxa"/>
          </w:tcPr>
          <w:p w:rsidR="0064111C" w:rsidRPr="007A046B" w:rsidRDefault="00C0480A" w:rsidP="007A046B">
            <w:pPr>
              <w:tabs>
                <w:tab w:val="left" w:pos="360"/>
              </w:tabs>
              <w:autoSpaceDE w:val="0"/>
              <w:autoSpaceDN w:val="0"/>
              <w:adjustRightInd w:val="0"/>
              <w:jc w:val="both"/>
              <w:rPr>
                <w:b/>
              </w:rPr>
            </w:pPr>
            <w:r w:rsidRPr="007A046B">
              <w:rPr>
                <w:b/>
                <w:bCs/>
              </w:rPr>
              <w:t>4.4 Wurde für diese Methode bereits eine Anfrage gemäß § 6 Abs. 2 KHEntgG beim InEK gestellt</w:t>
            </w:r>
            <w:r w:rsidRPr="007A046B">
              <w:rPr>
                <w:b/>
              </w:rPr>
              <w:t>?</w:t>
            </w:r>
          </w:p>
        </w:tc>
      </w:tr>
      <w:tr w:rsidR="0064111C" w:rsidRPr="007A046B">
        <w:tc>
          <w:tcPr>
            <w:tcW w:w="9333" w:type="dxa"/>
          </w:tcPr>
          <w:p w:rsidR="005F6BD4" w:rsidRPr="007A480E" w:rsidRDefault="005F6BD4" w:rsidP="005F6BD4">
            <w:pPr>
              <w:autoSpaceDE w:val="0"/>
              <w:autoSpaceDN w:val="0"/>
              <w:adjustRightInd w:val="0"/>
              <w:jc w:val="both"/>
            </w:pPr>
            <w:r w:rsidRPr="007A480E">
              <w:t xml:space="preserve">Wenn Sie für die angefragte Methode bereits in den vergangenen Jahren eine Anfrage gemäß § 6 Abs. 2 KHEntgG gestellt haben, kreuzen Sie bitte „Von Ihrem Krankenhaus“ an. Wenn Ihnen bekannt ist, dass ein anderes Krankenhaus für die von Ihnen aktuell angefragte Methode bereits eine </w:t>
            </w:r>
            <w:r>
              <w:t>A</w:t>
            </w:r>
            <w:r w:rsidRPr="007A480E">
              <w:t>nfrage gemäß § 6 Abs. 2 KHEntgG gestellt hat, kreuzen Sie bitte „Von einem anderen Krankenhaus“ an. Ansonsten kreuzen Sie bitte nichts an.</w:t>
            </w:r>
          </w:p>
          <w:p w:rsidR="005F6BD4" w:rsidRPr="007A480E" w:rsidRDefault="005F6BD4" w:rsidP="005F6BD4">
            <w:pPr>
              <w:tabs>
                <w:tab w:val="left" w:pos="720"/>
                <w:tab w:val="left" w:pos="1440"/>
              </w:tabs>
              <w:autoSpaceDE w:val="0"/>
              <w:autoSpaceDN w:val="0"/>
              <w:adjustRightInd w:val="0"/>
              <w:jc w:val="both"/>
            </w:pPr>
            <w:r w:rsidRPr="007A480E">
              <w:tab/>
              <w:t xml:space="preserve">Von ihrem Krankenhaus </w:t>
            </w:r>
            <w:r w:rsidRPr="00C902CF">
              <w:rPr>
                <w:highlight w:val="yellow"/>
              </w:rPr>
              <w:t>XX</w:t>
            </w:r>
          </w:p>
          <w:p w:rsidR="0064111C" w:rsidRPr="007A046B" w:rsidRDefault="005F6BD4" w:rsidP="00D36D69">
            <w:pPr>
              <w:tabs>
                <w:tab w:val="left" w:pos="360"/>
              </w:tabs>
              <w:autoSpaceDE w:val="0"/>
              <w:autoSpaceDN w:val="0"/>
              <w:adjustRightInd w:val="0"/>
              <w:jc w:val="both"/>
              <w:rPr>
                <w:b/>
              </w:rPr>
            </w:pPr>
            <w:r w:rsidRPr="007A480E">
              <w:tab/>
            </w:r>
            <w:r w:rsidRPr="007A480E">
              <w:tab/>
              <w:t xml:space="preserve">Von einem anderen Krankenhaus (falls Ihnen bekannt) </w:t>
            </w:r>
            <w:r w:rsidR="00D36D69">
              <w:t>ja</w:t>
            </w:r>
            <w:r w:rsidRPr="007A480E">
              <w:t>.</w:t>
            </w:r>
          </w:p>
        </w:tc>
      </w:tr>
    </w:tbl>
    <w:p w:rsidR="00C0480A" w:rsidRPr="00733DC6" w:rsidRDefault="00C0480A" w:rsidP="002202B2">
      <w:pPr>
        <w:tabs>
          <w:tab w:val="left" w:pos="360"/>
        </w:tabs>
        <w:autoSpaceDE w:val="0"/>
        <w:autoSpaceDN w:val="0"/>
        <w:adjustRightInd w:val="0"/>
        <w:ind w:left="357" w:hanging="357"/>
        <w:jc w:val="both"/>
      </w:pPr>
    </w:p>
    <w:sectPr w:rsidR="00C0480A" w:rsidRPr="00733DC6" w:rsidSect="002202B2">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8D5" w:rsidRDefault="006B68D5">
      <w:r>
        <w:separator/>
      </w:r>
    </w:p>
  </w:endnote>
  <w:endnote w:type="continuationSeparator" w:id="0">
    <w:p w:rsidR="006B68D5" w:rsidRDefault="006B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MU CompatilFact">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C3" w:rsidRDefault="00712FC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BD4" w:rsidRPr="008328F9" w:rsidRDefault="005F6BD4" w:rsidP="005F0285">
    <w:pPr>
      <w:pStyle w:val="Fuzeile"/>
      <w:tabs>
        <w:tab w:val="clear" w:pos="9072"/>
        <w:tab w:val="right" w:pos="9180"/>
      </w:tabs>
      <w:rPr>
        <w:sz w:val="20"/>
        <w:szCs w:val="20"/>
      </w:rPr>
    </w:pPr>
    <w:r w:rsidRPr="008328F9">
      <w:rPr>
        <w:sz w:val="20"/>
        <w:szCs w:val="20"/>
      </w:rPr>
      <w:tab/>
    </w:r>
    <w:r w:rsidRPr="008328F9">
      <w:rPr>
        <w:sz w:val="20"/>
        <w:szCs w:val="20"/>
      </w:rPr>
      <w:tab/>
    </w:r>
    <w:r w:rsidRPr="008328F9">
      <w:rPr>
        <w:rStyle w:val="Seitenzahl"/>
        <w:sz w:val="20"/>
        <w:szCs w:val="20"/>
      </w:rPr>
      <w:fldChar w:fldCharType="begin"/>
    </w:r>
    <w:r w:rsidRPr="008328F9">
      <w:rPr>
        <w:rStyle w:val="Seitenzahl"/>
        <w:sz w:val="20"/>
        <w:szCs w:val="20"/>
      </w:rPr>
      <w:instrText xml:space="preserve"> PAGE </w:instrText>
    </w:r>
    <w:r w:rsidRPr="008328F9">
      <w:rPr>
        <w:rStyle w:val="Seitenzahl"/>
        <w:sz w:val="20"/>
        <w:szCs w:val="20"/>
      </w:rPr>
      <w:fldChar w:fldCharType="separate"/>
    </w:r>
    <w:r w:rsidR="00AA44FD">
      <w:rPr>
        <w:rStyle w:val="Seitenzahl"/>
        <w:noProof/>
        <w:sz w:val="20"/>
        <w:szCs w:val="20"/>
      </w:rPr>
      <w:t>1</w:t>
    </w:r>
    <w:r w:rsidRPr="008328F9">
      <w:rPr>
        <w:rStyle w:val="Seitenzahl"/>
        <w:sz w:val="20"/>
        <w:szCs w:val="20"/>
      </w:rPr>
      <w:fldChar w:fldCharType="end"/>
    </w:r>
    <w:r w:rsidRPr="008328F9">
      <w:rPr>
        <w:rStyle w:val="Seitenzahl"/>
        <w:sz w:val="20"/>
        <w:szCs w:val="20"/>
      </w:rPr>
      <w:t>/</w:t>
    </w:r>
    <w:r w:rsidRPr="008328F9">
      <w:rPr>
        <w:rStyle w:val="Seitenzahl"/>
        <w:sz w:val="20"/>
        <w:szCs w:val="20"/>
      </w:rPr>
      <w:fldChar w:fldCharType="begin"/>
    </w:r>
    <w:r w:rsidRPr="008328F9">
      <w:rPr>
        <w:rStyle w:val="Seitenzahl"/>
        <w:sz w:val="20"/>
        <w:szCs w:val="20"/>
      </w:rPr>
      <w:instrText xml:space="preserve"> NUMPAGES </w:instrText>
    </w:r>
    <w:r w:rsidRPr="008328F9">
      <w:rPr>
        <w:rStyle w:val="Seitenzahl"/>
        <w:sz w:val="20"/>
        <w:szCs w:val="20"/>
      </w:rPr>
      <w:fldChar w:fldCharType="separate"/>
    </w:r>
    <w:r w:rsidR="00AA44FD">
      <w:rPr>
        <w:rStyle w:val="Seitenzahl"/>
        <w:noProof/>
        <w:sz w:val="20"/>
        <w:szCs w:val="20"/>
      </w:rPr>
      <w:t>5</w:t>
    </w:r>
    <w:r w:rsidRPr="008328F9">
      <w:rPr>
        <w:rStyle w:val="Seitenzahl"/>
        <w:sz w:val="20"/>
        <w:szCs w:val="20"/>
      </w:rPr>
      <w:fldChar w:fldCharType="end"/>
    </w:r>
  </w:p>
  <w:p w:rsidR="00712FC3" w:rsidRDefault="005F6BD4" w:rsidP="00061A53">
    <w:pPr>
      <w:pStyle w:val="Fuzeile"/>
      <w:rPr>
        <w:sz w:val="20"/>
        <w:szCs w:val="20"/>
      </w:rPr>
    </w:pPr>
    <w:r w:rsidRPr="008328F9">
      <w:rPr>
        <w:sz w:val="20"/>
        <w:szCs w:val="20"/>
      </w:rPr>
      <w:t xml:space="preserve">Arbeitsgruppe DRG der Gesellschaft für Pädiatrische Onkologie und Hämatologie e.V. </w:t>
    </w:r>
  </w:p>
  <w:p w:rsidR="005F6BD4" w:rsidRPr="008328F9" w:rsidRDefault="00AA44FD" w:rsidP="00061A53">
    <w:pPr>
      <w:pStyle w:val="Fuzeile"/>
      <w:rPr>
        <w:sz w:val="20"/>
        <w:szCs w:val="20"/>
      </w:rPr>
    </w:pPr>
    <w:hyperlink r:id="rId1" w:history="1">
      <w:r w:rsidR="005F1DAE" w:rsidRPr="00061FDB">
        <w:rPr>
          <w:rStyle w:val="Hyperlink"/>
          <w:sz w:val="20"/>
          <w:szCs w:val="20"/>
        </w:rPr>
        <w:t>www.gpoh.de</w:t>
      </w:r>
    </w:hyperlink>
  </w:p>
  <w:p w:rsidR="005F6BD4" w:rsidRPr="008328F9" w:rsidRDefault="00B57F04" w:rsidP="00061A53">
    <w:pPr>
      <w:pStyle w:val="Fuzeile"/>
      <w:rPr>
        <w:sz w:val="20"/>
        <w:szCs w:val="20"/>
      </w:rPr>
    </w:pPr>
    <w:r>
      <w:rPr>
        <w:noProof/>
        <w:sz w:val="20"/>
        <w:szCs w:val="20"/>
      </w:rPr>
      <w:drawing>
        <wp:anchor distT="0" distB="0" distL="114300" distR="114300" simplePos="0" relativeHeight="251657728" behindDoc="0" locked="0" layoutInCell="1" allowOverlap="1">
          <wp:simplePos x="0" y="0"/>
          <wp:positionH relativeFrom="column">
            <wp:posOffset>5029200</wp:posOffset>
          </wp:positionH>
          <wp:positionV relativeFrom="paragraph">
            <wp:posOffset>37465</wp:posOffset>
          </wp:positionV>
          <wp:extent cx="742950" cy="314325"/>
          <wp:effectExtent l="0" t="0" r="0" b="952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BD4" w:rsidRPr="008328F9">
      <w:rPr>
        <w:snapToGrid w:val="0"/>
        <w:sz w:val="20"/>
        <w:szCs w:val="20"/>
      </w:rPr>
      <w:t xml:space="preserve">Seite </w:t>
    </w:r>
    <w:r w:rsidR="005F6BD4" w:rsidRPr="008328F9">
      <w:rPr>
        <w:snapToGrid w:val="0"/>
        <w:sz w:val="20"/>
        <w:szCs w:val="20"/>
      </w:rPr>
      <w:fldChar w:fldCharType="begin"/>
    </w:r>
    <w:r w:rsidR="005F6BD4" w:rsidRPr="008328F9">
      <w:rPr>
        <w:snapToGrid w:val="0"/>
        <w:sz w:val="20"/>
        <w:szCs w:val="20"/>
      </w:rPr>
      <w:instrText xml:space="preserve"> PAGE </w:instrText>
    </w:r>
    <w:r w:rsidR="005F6BD4" w:rsidRPr="008328F9">
      <w:rPr>
        <w:snapToGrid w:val="0"/>
        <w:sz w:val="20"/>
        <w:szCs w:val="20"/>
      </w:rPr>
      <w:fldChar w:fldCharType="separate"/>
    </w:r>
    <w:r w:rsidR="00AA44FD">
      <w:rPr>
        <w:noProof/>
        <w:snapToGrid w:val="0"/>
        <w:sz w:val="20"/>
        <w:szCs w:val="20"/>
      </w:rPr>
      <w:t>1</w:t>
    </w:r>
    <w:r w:rsidR="005F6BD4" w:rsidRPr="008328F9">
      <w:rPr>
        <w:snapToGrid w:val="0"/>
        <w:sz w:val="20"/>
        <w:szCs w:val="20"/>
      </w:rPr>
      <w:fldChar w:fldCharType="end"/>
    </w:r>
    <w:r w:rsidR="005F6BD4" w:rsidRPr="008328F9">
      <w:rPr>
        <w:snapToGrid w:val="0"/>
        <w:sz w:val="20"/>
        <w:szCs w:val="20"/>
      </w:rPr>
      <w:t xml:space="preserve"> von </w:t>
    </w:r>
    <w:r w:rsidR="005F6BD4" w:rsidRPr="008328F9">
      <w:rPr>
        <w:snapToGrid w:val="0"/>
        <w:sz w:val="20"/>
        <w:szCs w:val="20"/>
      </w:rPr>
      <w:fldChar w:fldCharType="begin"/>
    </w:r>
    <w:r w:rsidR="005F6BD4" w:rsidRPr="008328F9">
      <w:rPr>
        <w:snapToGrid w:val="0"/>
        <w:sz w:val="20"/>
        <w:szCs w:val="20"/>
      </w:rPr>
      <w:instrText xml:space="preserve"> NUMPAGES </w:instrText>
    </w:r>
    <w:r w:rsidR="005F6BD4" w:rsidRPr="008328F9">
      <w:rPr>
        <w:snapToGrid w:val="0"/>
        <w:sz w:val="20"/>
        <w:szCs w:val="20"/>
      </w:rPr>
      <w:fldChar w:fldCharType="separate"/>
    </w:r>
    <w:r w:rsidR="00AA44FD">
      <w:rPr>
        <w:noProof/>
        <w:snapToGrid w:val="0"/>
        <w:sz w:val="20"/>
        <w:szCs w:val="20"/>
      </w:rPr>
      <w:t>5</w:t>
    </w:r>
    <w:r w:rsidR="005F6BD4" w:rsidRPr="008328F9">
      <w:rPr>
        <w:snapToGrid w:val="0"/>
        <w:sz w:val="20"/>
        <w:szCs w:val="20"/>
      </w:rPr>
      <w:fldChar w:fldCharType="end"/>
    </w:r>
  </w:p>
  <w:p w:rsidR="00712FC3" w:rsidRDefault="00712FC3" w:rsidP="00712FC3">
    <w:pPr>
      <w:pStyle w:val="Fuzeile"/>
    </w:pPr>
    <w:r w:rsidRPr="00061A53">
      <w:rPr>
        <w:sz w:val="20"/>
        <w:szCs w:val="20"/>
      </w:rPr>
      <w:t xml:space="preserve">Antrag – </w:t>
    </w:r>
    <w:r>
      <w:rPr>
        <w:sz w:val="20"/>
        <w:szCs w:val="20"/>
      </w:rPr>
      <w:t>Everolimus FINAL 10.10.2017</w:t>
    </w:r>
  </w:p>
  <w:p w:rsidR="005F6BD4" w:rsidRPr="008328F9" w:rsidRDefault="005F6BD4" w:rsidP="00061A53">
    <w:pPr>
      <w:pStyle w:val="Fuzeile"/>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C3" w:rsidRDefault="00712FC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8D5" w:rsidRDefault="006B68D5">
      <w:r>
        <w:separator/>
      </w:r>
    </w:p>
  </w:footnote>
  <w:footnote w:type="continuationSeparator" w:id="0">
    <w:p w:rsidR="006B68D5" w:rsidRDefault="006B6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C3" w:rsidRDefault="00712FC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BD4" w:rsidRDefault="005F6BD4" w:rsidP="00241499">
    <w:pPr>
      <w:pStyle w:val="Kopfzeile"/>
      <w:tabs>
        <w:tab w:val="clear" w:pos="4536"/>
        <w:tab w:val="left" w:pos="3240"/>
      </w:tabs>
      <w:rPr>
        <w:rFonts w:ascii="LMU CompatilFact" w:hAnsi="LMU CompatilFact"/>
      </w:rPr>
    </w:pPr>
    <w:r>
      <w:t xml:space="preserve"> </w:t>
    </w:r>
    <w:r>
      <w:tab/>
    </w:r>
    <w:r w:rsidRPr="005F0285">
      <w:rPr>
        <w:b/>
        <w:sz w:val="24"/>
        <w:szCs w:val="24"/>
      </w:rPr>
      <w:t>NUB Antrag 201</w:t>
    </w:r>
    <w:r w:rsidR="00166CA6">
      <w:rPr>
        <w:b/>
        <w:sz w:val="24"/>
        <w:szCs w:val="24"/>
      </w:rPr>
      <w:t>7</w:t>
    </w:r>
    <w:r w:rsidRPr="005F0285">
      <w:rPr>
        <w:b/>
        <w:sz w:val="24"/>
        <w:szCs w:val="24"/>
      </w:rPr>
      <w:t>/201</w:t>
    </w:r>
    <w:r w:rsidR="00166CA6">
      <w:rPr>
        <w:b/>
        <w:sz w:val="24"/>
        <w:szCs w:val="24"/>
      </w:rPr>
      <w:t>8</w:t>
    </w:r>
    <w:r>
      <w:rPr>
        <w:rFonts w:ascii="LMU CompatilFact" w:hAnsi="LMU CompatilFact"/>
      </w:rPr>
      <w:tab/>
    </w:r>
    <w:r w:rsidR="00B57F04">
      <w:rPr>
        <w:rFonts w:ascii="LMU CompatilFact" w:hAnsi="LMU CompatilFact"/>
        <w:noProof/>
      </w:rPr>
      <w:drawing>
        <wp:inline distT="0" distB="0" distL="0" distR="0">
          <wp:extent cx="1642110" cy="6699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669925"/>
                  </a:xfrm>
                  <a:prstGeom prst="rect">
                    <a:avLst/>
                  </a:prstGeom>
                  <a:noFill/>
                  <a:ln>
                    <a:noFill/>
                  </a:ln>
                </pic:spPr>
              </pic:pic>
            </a:graphicData>
          </a:graphic>
        </wp:inline>
      </w:drawing>
    </w:r>
  </w:p>
  <w:p w:rsidR="005F6BD4" w:rsidRDefault="005F6BD4" w:rsidP="00241499">
    <w:pPr>
      <w:pStyle w:val="Kopfzeile"/>
      <w:tabs>
        <w:tab w:val="clear" w:pos="4536"/>
        <w:tab w:val="left" w:pos="32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C3" w:rsidRDefault="00712FC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868CF"/>
    <w:multiLevelType w:val="multilevel"/>
    <w:tmpl w:val="6256D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2A234DE4"/>
    <w:multiLevelType w:val="multilevel"/>
    <w:tmpl w:val="6256D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2E2D377C"/>
    <w:multiLevelType w:val="hybridMultilevel"/>
    <w:tmpl w:val="7184598A"/>
    <w:lvl w:ilvl="0" w:tplc="1674DE6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7B43DD3"/>
    <w:multiLevelType w:val="multilevel"/>
    <w:tmpl w:val="6256D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7CE12C6"/>
    <w:multiLevelType w:val="hybridMultilevel"/>
    <w:tmpl w:val="DF0A40CC"/>
    <w:lvl w:ilvl="0" w:tplc="52AC09F8">
      <w:start w:val="1"/>
      <w:numFmt w:val="bullet"/>
      <w:lvlText w:val=""/>
      <w:lvlJc w:val="left"/>
      <w:pPr>
        <w:tabs>
          <w:tab w:val="num" w:pos="720"/>
        </w:tabs>
        <w:ind w:left="720" w:hanging="360"/>
      </w:pPr>
      <w:rPr>
        <w:rFonts w:ascii="Symbol" w:hAnsi="Symbol" w:hint="default"/>
        <w:sz w:val="20"/>
      </w:rPr>
    </w:lvl>
    <w:lvl w:ilvl="1" w:tplc="D5F4958C" w:tentative="1">
      <w:start w:val="1"/>
      <w:numFmt w:val="bullet"/>
      <w:lvlText w:val=""/>
      <w:lvlJc w:val="left"/>
      <w:pPr>
        <w:tabs>
          <w:tab w:val="num" w:pos="1440"/>
        </w:tabs>
        <w:ind w:left="1440" w:hanging="360"/>
      </w:pPr>
      <w:rPr>
        <w:rFonts w:ascii="Symbol" w:hAnsi="Symbol" w:hint="default"/>
        <w:sz w:val="20"/>
      </w:rPr>
    </w:lvl>
    <w:lvl w:ilvl="2" w:tplc="9B4A0D12" w:tentative="1">
      <w:start w:val="1"/>
      <w:numFmt w:val="bullet"/>
      <w:lvlText w:val=""/>
      <w:lvlJc w:val="left"/>
      <w:pPr>
        <w:tabs>
          <w:tab w:val="num" w:pos="2160"/>
        </w:tabs>
        <w:ind w:left="2160" w:hanging="360"/>
      </w:pPr>
      <w:rPr>
        <w:rFonts w:ascii="Symbol" w:hAnsi="Symbol" w:hint="default"/>
        <w:sz w:val="20"/>
      </w:rPr>
    </w:lvl>
    <w:lvl w:ilvl="3" w:tplc="BE8C9B18" w:tentative="1">
      <w:start w:val="1"/>
      <w:numFmt w:val="bullet"/>
      <w:lvlText w:val=""/>
      <w:lvlJc w:val="left"/>
      <w:pPr>
        <w:tabs>
          <w:tab w:val="num" w:pos="2880"/>
        </w:tabs>
        <w:ind w:left="2880" w:hanging="360"/>
      </w:pPr>
      <w:rPr>
        <w:rFonts w:ascii="Symbol" w:hAnsi="Symbol" w:hint="default"/>
        <w:sz w:val="20"/>
      </w:rPr>
    </w:lvl>
    <w:lvl w:ilvl="4" w:tplc="8B56E0A0" w:tentative="1">
      <w:start w:val="1"/>
      <w:numFmt w:val="bullet"/>
      <w:lvlText w:val=""/>
      <w:lvlJc w:val="left"/>
      <w:pPr>
        <w:tabs>
          <w:tab w:val="num" w:pos="3600"/>
        </w:tabs>
        <w:ind w:left="3600" w:hanging="360"/>
      </w:pPr>
      <w:rPr>
        <w:rFonts w:ascii="Symbol" w:hAnsi="Symbol" w:hint="default"/>
        <w:sz w:val="20"/>
      </w:rPr>
    </w:lvl>
    <w:lvl w:ilvl="5" w:tplc="DBBEBB32" w:tentative="1">
      <w:start w:val="1"/>
      <w:numFmt w:val="bullet"/>
      <w:lvlText w:val=""/>
      <w:lvlJc w:val="left"/>
      <w:pPr>
        <w:tabs>
          <w:tab w:val="num" w:pos="4320"/>
        </w:tabs>
        <w:ind w:left="4320" w:hanging="360"/>
      </w:pPr>
      <w:rPr>
        <w:rFonts w:ascii="Symbol" w:hAnsi="Symbol" w:hint="default"/>
        <w:sz w:val="20"/>
      </w:rPr>
    </w:lvl>
    <w:lvl w:ilvl="6" w:tplc="F606F09A" w:tentative="1">
      <w:start w:val="1"/>
      <w:numFmt w:val="bullet"/>
      <w:lvlText w:val=""/>
      <w:lvlJc w:val="left"/>
      <w:pPr>
        <w:tabs>
          <w:tab w:val="num" w:pos="5040"/>
        </w:tabs>
        <w:ind w:left="5040" w:hanging="360"/>
      </w:pPr>
      <w:rPr>
        <w:rFonts w:ascii="Symbol" w:hAnsi="Symbol" w:hint="default"/>
        <w:sz w:val="20"/>
      </w:rPr>
    </w:lvl>
    <w:lvl w:ilvl="7" w:tplc="D89C8E3C" w:tentative="1">
      <w:start w:val="1"/>
      <w:numFmt w:val="bullet"/>
      <w:lvlText w:val=""/>
      <w:lvlJc w:val="left"/>
      <w:pPr>
        <w:tabs>
          <w:tab w:val="num" w:pos="5760"/>
        </w:tabs>
        <w:ind w:left="5760" w:hanging="360"/>
      </w:pPr>
      <w:rPr>
        <w:rFonts w:ascii="Symbol" w:hAnsi="Symbol" w:hint="default"/>
        <w:sz w:val="20"/>
      </w:rPr>
    </w:lvl>
    <w:lvl w:ilvl="8" w:tplc="0728EF4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1E56C3"/>
    <w:multiLevelType w:val="multilevel"/>
    <w:tmpl w:val="6256D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07841A0"/>
    <w:multiLevelType w:val="hybridMultilevel"/>
    <w:tmpl w:val="F4ECB304"/>
    <w:lvl w:ilvl="0" w:tplc="1D7EC72A">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1224BB3"/>
    <w:multiLevelType w:val="hybridMultilevel"/>
    <w:tmpl w:val="916C79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A87F3C"/>
    <w:multiLevelType w:val="multilevel"/>
    <w:tmpl w:val="6256D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66297720"/>
    <w:multiLevelType w:val="hybridMultilevel"/>
    <w:tmpl w:val="D372435A"/>
    <w:lvl w:ilvl="0" w:tplc="462C92DA">
      <w:start w:val="1"/>
      <w:numFmt w:val="bullet"/>
      <w:lvlText w:val=""/>
      <w:lvlJc w:val="left"/>
      <w:pPr>
        <w:tabs>
          <w:tab w:val="num" w:pos="720"/>
        </w:tabs>
        <w:ind w:left="720" w:hanging="360"/>
      </w:pPr>
      <w:rPr>
        <w:rFonts w:ascii="Symbol" w:hAnsi="Symbol" w:hint="default"/>
        <w:sz w:val="20"/>
      </w:rPr>
    </w:lvl>
    <w:lvl w:ilvl="1" w:tplc="61C2AF4E" w:tentative="1">
      <w:start w:val="1"/>
      <w:numFmt w:val="bullet"/>
      <w:lvlText w:val="o"/>
      <w:lvlJc w:val="left"/>
      <w:pPr>
        <w:tabs>
          <w:tab w:val="num" w:pos="1440"/>
        </w:tabs>
        <w:ind w:left="1440" w:hanging="360"/>
      </w:pPr>
      <w:rPr>
        <w:rFonts w:ascii="Courier New" w:hAnsi="Courier New" w:hint="default"/>
        <w:sz w:val="20"/>
      </w:rPr>
    </w:lvl>
    <w:lvl w:ilvl="2" w:tplc="EEF856EA" w:tentative="1">
      <w:start w:val="1"/>
      <w:numFmt w:val="bullet"/>
      <w:lvlText w:val=""/>
      <w:lvlJc w:val="left"/>
      <w:pPr>
        <w:tabs>
          <w:tab w:val="num" w:pos="2160"/>
        </w:tabs>
        <w:ind w:left="2160" w:hanging="360"/>
      </w:pPr>
      <w:rPr>
        <w:rFonts w:ascii="Wingdings" w:hAnsi="Wingdings" w:hint="default"/>
        <w:sz w:val="20"/>
      </w:rPr>
    </w:lvl>
    <w:lvl w:ilvl="3" w:tplc="BC3E0FAE" w:tentative="1">
      <w:start w:val="1"/>
      <w:numFmt w:val="bullet"/>
      <w:lvlText w:val=""/>
      <w:lvlJc w:val="left"/>
      <w:pPr>
        <w:tabs>
          <w:tab w:val="num" w:pos="2880"/>
        </w:tabs>
        <w:ind w:left="2880" w:hanging="360"/>
      </w:pPr>
      <w:rPr>
        <w:rFonts w:ascii="Wingdings" w:hAnsi="Wingdings" w:hint="default"/>
        <w:sz w:val="20"/>
      </w:rPr>
    </w:lvl>
    <w:lvl w:ilvl="4" w:tplc="CFE8802C" w:tentative="1">
      <w:start w:val="1"/>
      <w:numFmt w:val="bullet"/>
      <w:lvlText w:val=""/>
      <w:lvlJc w:val="left"/>
      <w:pPr>
        <w:tabs>
          <w:tab w:val="num" w:pos="3600"/>
        </w:tabs>
        <w:ind w:left="3600" w:hanging="360"/>
      </w:pPr>
      <w:rPr>
        <w:rFonts w:ascii="Wingdings" w:hAnsi="Wingdings" w:hint="default"/>
        <w:sz w:val="20"/>
      </w:rPr>
    </w:lvl>
    <w:lvl w:ilvl="5" w:tplc="AA76F68C" w:tentative="1">
      <w:start w:val="1"/>
      <w:numFmt w:val="bullet"/>
      <w:lvlText w:val=""/>
      <w:lvlJc w:val="left"/>
      <w:pPr>
        <w:tabs>
          <w:tab w:val="num" w:pos="4320"/>
        </w:tabs>
        <w:ind w:left="4320" w:hanging="360"/>
      </w:pPr>
      <w:rPr>
        <w:rFonts w:ascii="Wingdings" w:hAnsi="Wingdings" w:hint="default"/>
        <w:sz w:val="20"/>
      </w:rPr>
    </w:lvl>
    <w:lvl w:ilvl="6" w:tplc="0DDAB89A" w:tentative="1">
      <w:start w:val="1"/>
      <w:numFmt w:val="bullet"/>
      <w:lvlText w:val=""/>
      <w:lvlJc w:val="left"/>
      <w:pPr>
        <w:tabs>
          <w:tab w:val="num" w:pos="5040"/>
        </w:tabs>
        <w:ind w:left="5040" w:hanging="360"/>
      </w:pPr>
      <w:rPr>
        <w:rFonts w:ascii="Wingdings" w:hAnsi="Wingdings" w:hint="default"/>
        <w:sz w:val="20"/>
      </w:rPr>
    </w:lvl>
    <w:lvl w:ilvl="7" w:tplc="73C839E8" w:tentative="1">
      <w:start w:val="1"/>
      <w:numFmt w:val="bullet"/>
      <w:lvlText w:val=""/>
      <w:lvlJc w:val="left"/>
      <w:pPr>
        <w:tabs>
          <w:tab w:val="num" w:pos="5760"/>
        </w:tabs>
        <w:ind w:left="5760" w:hanging="360"/>
      </w:pPr>
      <w:rPr>
        <w:rFonts w:ascii="Wingdings" w:hAnsi="Wingdings" w:hint="default"/>
        <w:sz w:val="20"/>
      </w:rPr>
    </w:lvl>
    <w:lvl w:ilvl="8" w:tplc="DCC6531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0"/>
  </w:num>
  <w:num w:numId="6">
    <w:abstractNumId w:val="8"/>
  </w:num>
  <w:num w:numId="7">
    <w:abstractNumId w:val="3"/>
  </w:num>
  <w:num w:numId="8">
    <w:abstractNumId w:val="9"/>
  </w:num>
  <w:num w:numId="9">
    <w:abstractNumId w:val="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4E"/>
    <w:rsid w:val="000125A9"/>
    <w:rsid w:val="0003192F"/>
    <w:rsid w:val="000516DD"/>
    <w:rsid w:val="00061A53"/>
    <w:rsid w:val="00077788"/>
    <w:rsid w:val="0008265A"/>
    <w:rsid w:val="000C5C95"/>
    <w:rsid w:val="000E6923"/>
    <w:rsid w:val="00120EB8"/>
    <w:rsid w:val="0013151B"/>
    <w:rsid w:val="00166CA6"/>
    <w:rsid w:val="001801C2"/>
    <w:rsid w:val="001963FF"/>
    <w:rsid w:val="001B288A"/>
    <w:rsid w:val="001B313C"/>
    <w:rsid w:val="001F3663"/>
    <w:rsid w:val="001F7675"/>
    <w:rsid w:val="00204B07"/>
    <w:rsid w:val="002202B2"/>
    <w:rsid w:val="00224CB5"/>
    <w:rsid w:val="00225A3A"/>
    <w:rsid w:val="00241499"/>
    <w:rsid w:val="00252E55"/>
    <w:rsid w:val="00262CF6"/>
    <w:rsid w:val="00263728"/>
    <w:rsid w:val="00287CF2"/>
    <w:rsid w:val="0029737A"/>
    <w:rsid w:val="002B243B"/>
    <w:rsid w:val="002C7F46"/>
    <w:rsid w:val="002E4AF3"/>
    <w:rsid w:val="003031C7"/>
    <w:rsid w:val="0031321C"/>
    <w:rsid w:val="0033658D"/>
    <w:rsid w:val="00340DE8"/>
    <w:rsid w:val="0034621D"/>
    <w:rsid w:val="00354163"/>
    <w:rsid w:val="0038460D"/>
    <w:rsid w:val="00393E87"/>
    <w:rsid w:val="003978B3"/>
    <w:rsid w:val="003A0638"/>
    <w:rsid w:val="003C64AA"/>
    <w:rsid w:val="003F723B"/>
    <w:rsid w:val="0045256B"/>
    <w:rsid w:val="004528C7"/>
    <w:rsid w:val="00461EEF"/>
    <w:rsid w:val="00483013"/>
    <w:rsid w:val="00496EB7"/>
    <w:rsid w:val="004D4E89"/>
    <w:rsid w:val="00501D32"/>
    <w:rsid w:val="00532B8F"/>
    <w:rsid w:val="005805ED"/>
    <w:rsid w:val="00587D98"/>
    <w:rsid w:val="00593B24"/>
    <w:rsid w:val="005B21A8"/>
    <w:rsid w:val="005B5978"/>
    <w:rsid w:val="005C2B41"/>
    <w:rsid w:val="005D4278"/>
    <w:rsid w:val="005E7D6C"/>
    <w:rsid w:val="005F0285"/>
    <w:rsid w:val="005F1DAE"/>
    <w:rsid w:val="005F6BD4"/>
    <w:rsid w:val="006010CF"/>
    <w:rsid w:val="006053A8"/>
    <w:rsid w:val="0064111C"/>
    <w:rsid w:val="00650D8E"/>
    <w:rsid w:val="00673E8B"/>
    <w:rsid w:val="00675660"/>
    <w:rsid w:val="006A2C8C"/>
    <w:rsid w:val="006B68D5"/>
    <w:rsid w:val="006E577D"/>
    <w:rsid w:val="00712FC3"/>
    <w:rsid w:val="007132DA"/>
    <w:rsid w:val="0071417A"/>
    <w:rsid w:val="00733DC6"/>
    <w:rsid w:val="007362DC"/>
    <w:rsid w:val="007565C4"/>
    <w:rsid w:val="0075660A"/>
    <w:rsid w:val="00766CB1"/>
    <w:rsid w:val="007A046B"/>
    <w:rsid w:val="007D03FA"/>
    <w:rsid w:val="007D5EFB"/>
    <w:rsid w:val="007E2645"/>
    <w:rsid w:val="007E5FB3"/>
    <w:rsid w:val="008328F9"/>
    <w:rsid w:val="008348AA"/>
    <w:rsid w:val="00844256"/>
    <w:rsid w:val="00866442"/>
    <w:rsid w:val="008815F7"/>
    <w:rsid w:val="008926E0"/>
    <w:rsid w:val="008B078D"/>
    <w:rsid w:val="008C1DBE"/>
    <w:rsid w:val="008F7A64"/>
    <w:rsid w:val="00990D31"/>
    <w:rsid w:val="009957F6"/>
    <w:rsid w:val="009A4C4E"/>
    <w:rsid w:val="009B782F"/>
    <w:rsid w:val="009B7F1E"/>
    <w:rsid w:val="009D4053"/>
    <w:rsid w:val="00A0498C"/>
    <w:rsid w:val="00A070A8"/>
    <w:rsid w:val="00A25C02"/>
    <w:rsid w:val="00A73BD5"/>
    <w:rsid w:val="00A77B9C"/>
    <w:rsid w:val="00A90FB1"/>
    <w:rsid w:val="00A9250D"/>
    <w:rsid w:val="00A960FD"/>
    <w:rsid w:val="00AA426F"/>
    <w:rsid w:val="00AA44FD"/>
    <w:rsid w:val="00AA6825"/>
    <w:rsid w:val="00AA786E"/>
    <w:rsid w:val="00AD14EB"/>
    <w:rsid w:val="00B30358"/>
    <w:rsid w:val="00B4620D"/>
    <w:rsid w:val="00B57F04"/>
    <w:rsid w:val="00B74226"/>
    <w:rsid w:val="00BD23D4"/>
    <w:rsid w:val="00C0480A"/>
    <w:rsid w:val="00C22735"/>
    <w:rsid w:val="00C525E8"/>
    <w:rsid w:val="00C5458D"/>
    <w:rsid w:val="00C7428B"/>
    <w:rsid w:val="00C93DCB"/>
    <w:rsid w:val="00CB4F1A"/>
    <w:rsid w:val="00CF3460"/>
    <w:rsid w:val="00D2254D"/>
    <w:rsid w:val="00D366EC"/>
    <w:rsid w:val="00D36D69"/>
    <w:rsid w:val="00D56F3A"/>
    <w:rsid w:val="00D5762B"/>
    <w:rsid w:val="00D61A3F"/>
    <w:rsid w:val="00D65F18"/>
    <w:rsid w:val="00DC7D20"/>
    <w:rsid w:val="00DE4B0F"/>
    <w:rsid w:val="00E039C1"/>
    <w:rsid w:val="00E17365"/>
    <w:rsid w:val="00E209B3"/>
    <w:rsid w:val="00E24405"/>
    <w:rsid w:val="00E305B6"/>
    <w:rsid w:val="00E311BC"/>
    <w:rsid w:val="00E40FC1"/>
    <w:rsid w:val="00E4513F"/>
    <w:rsid w:val="00E66BC3"/>
    <w:rsid w:val="00EC1BC1"/>
    <w:rsid w:val="00F400B5"/>
    <w:rsid w:val="00F42BA8"/>
    <w:rsid w:val="00F54DD8"/>
    <w:rsid w:val="00FA0FA9"/>
    <w:rsid w:val="00FD4770"/>
    <w:rsid w:val="00FE03FF"/>
    <w:rsid w:val="00FE32FD"/>
    <w:rsid w:val="00FF1BD4"/>
    <w:rsid w:val="00FF6B30"/>
    <w:rsid w:val="00FF77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8A85CA97-1AEC-49F6-9B04-22BD7658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03FA"/>
    <w:rPr>
      <w:rFonts w:ascii="Arial" w:hAnsi="Arial" w:cs="Arial"/>
      <w:sz w:val="22"/>
      <w:szCs w:val="22"/>
    </w:rPr>
  </w:style>
  <w:style w:type="paragraph" w:styleId="berschrift6">
    <w:name w:val="heading 6"/>
    <w:basedOn w:val="Standard"/>
    <w:qFormat/>
    <w:rsid w:val="00673E8B"/>
    <w:pPr>
      <w:spacing w:before="100" w:beforeAutospacing="1" w:after="100" w:afterAutospacing="1"/>
      <w:outlineLvl w:val="5"/>
    </w:pPr>
    <w:rPr>
      <w:rFonts w:ascii="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9A4C4E"/>
    <w:rPr>
      <w:rFonts w:ascii="Tahoma" w:hAnsi="Tahoma" w:cs="Tahoma"/>
      <w:sz w:val="16"/>
      <w:szCs w:val="16"/>
    </w:rPr>
  </w:style>
  <w:style w:type="paragraph" w:styleId="NurText">
    <w:name w:val="Plain Text"/>
    <w:basedOn w:val="Standard"/>
    <w:rsid w:val="007362DC"/>
    <w:rPr>
      <w:rFonts w:ascii="Courier New" w:eastAsia="MS Mincho" w:hAnsi="Courier New" w:cs="Courier New"/>
      <w:sz w:val="20"/>
      <w:szCs w:val="20"/>
      <w:lang w:eastAsia="ja-JP"/>
    </w:rPr>
  </w:style>
  <w:style w:type="table" w:styleId="Tabellenraster">
    <w:name w:val="Table Grid"/>
    <w:basedOn w:val="NormaleTabelle"/>
    <w:rsid w:val="00F4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1A53"/>
    <w:rPr>
      <w:color w:val="0000FF"/>
      <w:u w:val="single"/>
    </w:rPr>
  </w:style>
  <w:style w:type="character" w:customStyle="1" w:styleId="label">
    <w:name w:val="label"/>
    <w:basedOn w:val="Absatz-Standardschriftart"/>
    <w:rsid w:val="00673E8B"/>
  </w:style>
  <w:style w:type="paragraph" w:styleId="HTMLVorformatiert">
    <w:name w:val="HTML Preformatted"/>
    <w:basedOn w:val="Standard"/>
    <w:link w:val="HTMLVorformatiertZchn"/>
    <w:uiPriority w:val="99"/>
    <w:unhideWhenUsed/>
    <w:rsid w:val="00FA0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x-none" w:eastAsia="x-none"/>
    </w:rPr>
  </w:style>
  <w:style w:type="character" w:customStyle="1" w:styleId="HTMLVorformatiertZchn">
    <w:name w:val="HTML Vorformatiert Zchn"/>
    <w:link w:val="HTMLVorformatiert"/>
    <w:uiPriority w:val="99"/>
    <w:rsid w:val="00FA0FA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8076">
      <w:bodyDiv w:val="1"/>
      <w:marLeft w:val="0"/>
      <w:marRight w:val="0"/>
      <w:marTop w:val="0"/>
      <w:marBottom w:val="0"/>
      <w:divBdr>
        <w:top w:val="none" w:sz="0" w:space="0" w:color="auto"/>
        <w:left w:val="none" w:sz="0" w:space="0" w:color="auto"/>
        <w:bottom w:val="none" w:sz="0" w:space="0" w:color="auto"/>
        <w:right w:val="none" w:sz="0" w:space="0" w:color="auto"/>
      </w:divBdr>
    </w:div>
    <w:div w:id="704522138">
      <w:bodyDiv w:val="1"/>
      <w:marLeft w:val="0"/>
      <w:marRight w:val="0"/>
      <w:marTop w:val="0"/>
      <w:marBottom w:val="0"/>
      <w:divBdr>
        <w:top w:val="none" w:sz="0" w:space="0" w:color="auto"/>
        <w:left w:val="none" w:sz="0" w:space="0" w:color="auto"/>
        <w:bottom w:val="none" w:sz="0" w:space="0" w:color="auto"/>
        <w:right w:val="none" w:sz="0" w:space="0" w:color="auto"/>
      </w:divBdr>
    </w:div>
    <w:div w:id="984354895">
      <w:bodyDiv w:val="1"/>
      <w:marLeft w:val="0"/>
      <w:marRight w:val="0"/>
      <w:marTop w:val="0"/>
      <w:marBottom w:val="0"/>
      <w:divBdr>
        <w:top w:val="none" w:sz="0" w:space="0" w:color="auto"/>
        <w:left w:val="none" w:sz="0" w:space="0" w:color="auto"/>
        <w:bottom w:val="none" w:sz="0" w:space="0" w:color="auto"/>
        <w:right w:val="none" w:sz="0" w:space="0" w:color="auto"/>
      </w:divBdr>
    </w:div>
    <w:div w:id="1510559466">
      <w:bodyDiv w:val="1"/>
      <w:marLeft w:val="0"/>
      <w:marRight w:val="0"/>
      <w:marTop w:val="0"/>
      <w:marBottom w:val="0"/>
      <w:divBdr>
        <w:top w:val="none" w:sz="0" w:space="0" w:color="auto"/>
        <w:left w:val="none" w:sz="0" w:space="0" w:color="auto"/>
        <w:bottom w:val="none" w:sz="0" w:space="0" w:color="auto"/>
        <w:right w:val="none" w:sz="0" w:space="0" w:color="auto"/>
      </w:divBdr>
    </w:div>
    <w:div w:id="1518471055">
      <w:bodyDiv w:val="1"/>
      <w:marLeft w:val="0"/>
      <w:marRight w:val="0"/>
      <w:marTop w:val="0"/>
      <w:marBottom w:val="0"/>
      <w:divBdr>
        <w:top w:val="none" w:sz="0" w:space="0" w:color="auto"/>
        <w:left w:val="none" w:sz="0" w:space="0" w:color="auto"/>
        <w:bottom w:val="none" w:sz="0" w:space="0" w:color="auto"/>
        <w:right w:val="none" w:sz="0" w:space="0" w:color="auto"/>
      </w:divBdr>
      <w:divsChild>
        <w:div w:id="188758199">
          <w:marLeft w:val="0"/>
          <w:marRight w:val="0"/>
          <w:marTop w:val="0"/>
          <w:marBottom w:val="0"/>
          <w:divBdr>
            <w:top w:val="none" w:sz="0" w:space="0" w:color="auto"/>
            <w:left w:val="none" w:sz="0" w:space="0" w:color="auto"/>
            <w:bottom w:val="none" w:sz="0" w:space="0" w:color="auto"/>
            <w:right w:val="none" w:sz="0" w:space="0" w:color="auto"/>
          </w:divBdr>
        </w:div>
      </w:divsChild>
    </w:div>
    <w:div w:id="1545171093">
      <w:bodyDiv w:val="1"/>
      <w:marLeft w:val="0"/>
      <w:marRight w:val="0"/>
      <w:marTop w:val="0"/>
      <w:marBottom w:val="0"/>
      <w:divBdr>
        <w:top w:val="none" w:sz="0" w:space="0" w:color="auto"/>
        <w:left w:val="none" w:sz="0" w:space="0" w:color="auto"/>
        <w:bottom w:val="none" w:sz="0" w:space="0" w:color="auto"/>
        <w:right w:val="none" w:sz="0" w:space="0" w:color="auto"/>
      </w:divBdr>
    </w:div>
    <w:div w:id="1586497584">
      <w:bodyDiv w:val="1"/>
      <w:marLeft w:val="0"/>
      <w:marRight w:val="0"/>
      <w:marTop w:val="0"/>
      <w:marBottom w:val="0"/>
      <w:divBdr>
        <w:top w:val="none" w:sz="0" w:space="0" w:color="auto"/>
        <w:left w:val="none" w:sz="0" w:space="0" w:color="auto"/>
        <w:bottom w:val="none" w:sz="0" w:space="0" w:color="auto"/>
        <w:right w:val="none" w:sz="0" w:space="0" w:color="auto"/>
      </w:divBdr>
    </w:div>
    <w:div w:id="1632176298">
      <w:bodyDiv w:val="1"/>
      <w:marLeft w:val="0"/>
      <w:marRight w:val="0"/>
      <w:marTop w:val="0"/>
      <w:marBottom w:val="0"/>
      <w:divBdr>
        <w:top w:val="none" w:sz="0" w:space="0" w:color="auto"/>
        <w:left w:val="none" w:sz="0" w:space="0" w:color="auto"/>
        <w:bottom w:val="none" w:sz="0" w:space="0" w:color="auto"/>
        <w:right w:val="none" w:sz="0" w:space="0" w:color="auto"/>
      </w:divBdr>
      <w:divsChild>
        <w:div w:id="172653530">
          <w:marLeft w:val="0"/>
          <w:marRight w:val="0"/>
          <w:marTop w:val="0"/>
          <w:marBottom w:val="0"/>
          <w:divBdr>
            <w:top w:val="none" w:sz="0" w:space="0" w:color="auto"/>
            <w:left w:val="none" w:sz="0" w:space="0" w:color="auto"/>
            <w:bottom w:val="none" w:sz="0" w:space="0" w:color="auto"/>
            <w:right w:val="none" w:sz="0" w:space="0" w:color="auto"/>
          </w:divBdr>
        </w:div>
        <w:div w:id="236327077">
          <w:marLeft w:val="0"/>
          <w:marRight w:val="0"/>
          <w:marTop w:val="0"/>
          <w:marBottom w:val="0"/>
          <w:divBdr>
            <w:top w:val="none" w:sz="0" w:space="0" w:color="auto"/>
            <w:left w:val="none" w:sz="0" w:space="0" w:color="auto"/>
            <w:bottom w:val="none" w:sz="0" w:space="0" w:color="auto"/>
            <w:right w:val="none" w:sz="0" w:space="0" w:color="auto"/>
          </w:divBdr>
        </w:div>
        <w:div w:id="271521757">
          <w:marLeft w:val="0"/>
          <w:marRight w:val="0"/>
          <w:marTop w:val="0"/>
          <w:marBottom w:val="0"/>
          <w:divBdr>
            <w:top w:val="none" w:sz="0" w:space="0" w:color="auto"/>
            <w:left w:val="none" w:sz="0" w:space="0" w:color="auto"/>
            <w:bottom w:val="none" w:sz="0" w:space="0" w:color="auto"/>
            <w:right w:val="none" w:sz="0" w:space="0" w:color="auto"/>
          </w:divBdr>
        </w:div>
        <w:div w:id="298151991">
          <w:marLeft w:val="0"/>
          <w:marRight w:val="0"/>
          <w:marTop w:val="0"/>
          <w:marBottom w:val="0"/>
          <w:divBdr>
            <w:top w:val="none" w:sz="0" w:space="0" w:color="auto"/>
            <w:left w:val="none" w:sz="0" w:space="0" w:color="auto"/>
            <w:bottom w:val="none" w:sz="0" w:space="0" w:color="auto"/>
            <w:right w:val="none" w:sz="0" w:space="0" w:color="auto"/>
          </w:divBdr>
        </w:div>
        <w:div w:id="323164769">
          <w:marLeft w:val="0"/>
          <w:marRight w:val="0"/>
          <w:marTop w:val="0"/>
          <w:marBottom w:val="0"/>
          <w:divBdr>
            <w:top w:val="none" w:sz="0" w:space="0" w:color="auto"/>
            <w:left w:val="none" w:sz="0" w:space="0" w:color="auto"/>
            <w:bottom w:val="none" w:sz="0" w:space="0" w:color="auto"/>
            <w:right w:val="none" w:sz="0" w:space="0" w:color="auto"/>
          </w:divBdr>
        </w:div>
        <w:div w:id="332297644">
          <w:marLeft w:val="0"/>
          <w:marRight w:val="0"/>
          <w:marTop w:val="0"/>
          <w:marBottom w:val="0"/>
          <w:divBdr>
            <w:top w:val="none" w:sz="0" w:space="0" w:color="auto"/>
            <w:left w:val="none" w:sz="0" w:space="0" w:color="auto"/>
            <w:bottom w:val="none" w:sz="0" w:space="0" w:color="auto"/>
            <w:right w:val="none" w:sz="0" w:space="0" w:color="auto"/>
          </w:divBdr>
        </w:div>
        <w:div w:id="998119101">
          <w:marLeft w:val="0"/>
          <w:marRight w:val="0"/>
          <w:marTop w:val="0"/>
          <w:marBottom w:val="0"/>
          <w:divBdr>
            <w:top w:val="none" w:sz="0" w:space="0" w:color="auto"/>
            <w:left w:val="none" w:sz="0" w:space="0" w:color="auto"/>
            <w:bottom w:val="none" w:sz="0" w:space="0" w:color="auto"/>
            <w:right w:val="none" w:sz="0" w:space="0" w:color="auto"/>
          </w:divBdr>
        </w:div>
        <w:div w:id="1016888728">
          <w:marLeft w:val="0"/>
          <w:marRight w:val="0"/>
          <w:marTop w:val="0"/>
          <w:marBottom w:val="0"/>
          <w:divBdr>
            <w:top w:val="none" w:sz="0" w:space="0" w:color="auto"/>
            <w:left w:val="none" w:sz="0" w:space="0" w:color="auto"/>
            <w:bottom w:val="none" w:sz="0" w:space="0" w:color="auto"/>
            <w:right w:val="none" w:sz="0" w:space="0" w:color="auto"/>
          </w:divBdr>
        </w:div>
        <w:div w:id="1035229519">
          <w:marLeft w:val="0"/>
          <w:marRight w:val="0"/>
          <w:marTop w:val="0"/>
          <w:marBottom w:val="0"/>
          <w:divBdr>
            <w:top w:val="none" w:sz="0" w:space="0" w:color="auto"/>
            <w:left w:val="none" w:sz="0" w:space="0" w:color="auto"/>
            <w:bottom w:val="none" w:sz="0" w:space="0" w:color="auto"/>
            <w:right w:val="none" w:sz="0" w:space="0" w:color="auto"/>
          </w:divBdr>
        </w:div>
        <w:div w:id="1260135978">
          <w:marLeft w:val="0"/>
          <w:marRight w:val="0"/>
          <w:marTop w:val="0"/>
          <w:marBottom w:val="0"/>
          <w:divBdr>
            <w:top w:val="none" w:sz="0" w:space="0" w:color="auto"/>
            <w:left w:val="none" w:sz="0" w:space="0" w:color="auto"/>
            <w:bottom w:val="none" w:sz="0" w:space="0" w:color="auto"/>
            <w:right w:val="none" w:sz="0" w:space="0" w:color="auto"/>
          </w:divBdr>
        </w:div>
        <w:div w:id="1711880534">
          <w:marLeft w:val="0"/>
          <w:marRight w:val="0"/>
          <w:marTop w:val="0"/>
          <w:marBottom w:val="0"/>
          <w:divBdr>
            <w:top w:val="none" w:sz="0" w:space="0" w:color="auto"/>
            <w:left w:val="none" w:sz="0" w:space="0" w:color="auto"/>
            <w:bottom w:val="none" w:sz="0" w:space="0" w:color="auto"/>
            <w:right w:val="none" w:sz="0" w:space="0" w:color="auto"/>
          </w:divBdr>
        </w:div>
        <w:div w:id="1727023168">
          <w:marLeft w:val="0"/>
          <w:marRight w:val="0"/>
          <w:marTop w:val="0"/>
          <w:marBottom w:val="0"/>
          <w:divBdr>
            <w:top w:val="none" w:sz="0" w:space="0" w:color="auto"/>
            <w:left w:val="none" w:sz="0" w:space="0" w:color="auto"/>
            <w:bottom w:val="none" w:sz="0" w:space="0" w:color="auto"/>
            <w:right w:val="none" w:sz="0" w:space="0" w:color="auto"/>
          </w:divBdr>
        </w:div>
        <w:div w:id="1875733155">
          <w:marLeft w:val="0"/>
          <w:marRight w:val="0"/>
          <w:marTop w:val="0"/>
          <w:marBottom w:val="0"/>
          <w:divBdr>
            <w:top w:val="none" w:sz="0" w:space="0" w:color="auto"/>
            <w:left w:val="none" w:sz="0" w:space="0" w:color="auto"/>
            <w:bottom w:val="none" w:sz="0" w:space="0" w:color="auto"/>
            <w:right w:val="none" w:sz="0" w:space="0" w:color="auto"/>
          </w:divBdr>
        </w:div>
      </w:divsChild>
    </w:div>
    <w:div w:id="1701467104">
      <w:bodyDiv w:val="1"/>
      <w:marLeft w:val="0"/>
      <w:marRight w:val="0"/>
      <w:marTop w:val="0"/>
      <w:marBottom w:val="0"/>
      <w:divBdr>
        <w:top w:val="none" w:sz="0" w:space="0" w:color="auto"/>
        <w:left w:val="none" w:sz="0" w:space="0" w:color="auto"/>
        <w:bottom w:val="none" w:sz="0" w:space="0" w:color="auto"/>
        <w:right w:val="none" w:sz="0" w:space="0" w:color="auto"/>
      </w:divBdr>
    </w:div>
    <w:div w:id="1857503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gpoh.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1801</Words>
  <Characters>11352</Characters>
  <Application>Microsoft Office Word</Application>
  <DocSecurity>4</DocSecurity>
  <Lines>94</Lines>
  <Paragraphs>26</Paragraphs>
  <ScaleCrop>false</ScaleCrop>
  <HeadingPairs>
    <vt:vector size="2" baseType="variant">
      <vt:variant>
        <vt:lpstr>Titel</vt:lpstr>
      </vt:variant>
      <vt:variant>
        <vt:i4>1</vt:i4>
      </vt:variant>
    </vt:vector>
  </HeadingPairs>
  <TitlesOfParts>
    <vt:vector size="1" baseType="lpstr">
      <vt:lpstr>Antrag</vt:lpstr>
    </vt:vector>
  </TitlesOfParts>
  <Company>Kliniken des Landkreises Heidenheim</Company>
  <LinksUpToDate>false</LinksUpToDate>
  <CharactersWithSpaces>13127</CharactersWithSpaces>
  <SharedDoc>false</SharedDoc>
  <HLinks>
    <vt:vector size="6" baseType="variant">
      <vt:variant>
        <vt:i4>6815788</vt:i4>
      </vt:variant>
      <vt:variant>
        <vt:i4>6</vt:i4>
      </vt:variant>
      <vt:variant>
        <vt:i4>0</vt:i4>
      </vt:variant>
      <vt:variant>
        <vt:i4>5</vt:i4>
      </vt:variant>
      <vt:variant>
        <vt:lpwstr>http://www.gpoh.de/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flaemigu</dc:creator>
  <cp:lastModifiedBy>Dobke, Julia</cp:lastModifiedBy>
  <cp:revision>2</cp:revision>
  <cp:lastPrinted>2010-08-22T18:27:00Z</cp:lastPrinted>
  <dcterms:created xsi:type="dcterms:W3CDTF">2017-10-13T06:39:00Z</dcterms:created>
  <dcterms:modified xsi:type="dcterms:W3CDTF">2017-10-13T06:39:00Z</dcterms:modified>
</cp:coreProperties>
</file>