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F31E6BA" w14:textId="77777777">
        <w:tc>
          <w:tcPr>
            <w:tcW w:w="9212" w:type="dxa"/>
          </w:tcPr>
          <w:p w14:paraId="6456C0DE" w14:textId="77777777" w:rsidR="008E6675" w:rsidRPr="005638EB" w:rsidRDefault="008E6675" w:rsidP="002005AF">
            <w:pPr>
              <w:rPr>
                <w:rFonts w:ascii="Arial Narrow" w:hAnsi="Arial Narrow"/>
                <w:b/>
              </w:rPr>
            </w:pPr>
            <w:bookmarkStart w:id="0" w:name="_GoBack"/>
            <w:bookmarkEnd w:id="0"/>
            <w:r w:rsidRPr="005638EB">
              <w:rPr>
                <w:rFonts w:ascii="Arial Narrow" w:hAnsi="Arial Narrow"/>
                <w:b/>
                <w:sz w:val="22"/>
              </w:rPr>
              <w:t>Haben Sie externe Hilfestellungen 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47C305FE" w14:textId="77777777">
        <w:tc>
          <w:tcPr>
            <w:tcW w:w="9212" w:type="dxa"/>
          </w:tcPr>
          <w:p w14:paraId="686D64DB" w14:textId="77777777" w:rsidR="008E6675" w:rsidRPr="005638EB" w:rsidRDefault="005F6DEF" w:rsidP="005638EB">
            <w:pPr>
              <w:rPr>
                <w:rFonts w:ascii="Arial Narrow" w:hAnsi="Arial Narrow"/>
              </w:rPr>
            </w:pPr>
            <w:r w:rsidRPr="00180602">
              <w:rPr>
                <w:rFonts w:ascii="Arial Narrow" w:hAnsi="Arial Narrow"/>
                <w:sz w:val="22"/>
              </w:rPr>
              <w:t xml:space="preserve">Dieser Antrag wurde gemeinsam durch die </w:t>
            </w:r>
            <w:r w:rsidRPr="00180602">
              <w:rPr>
                <w:rFonts w:ascii="Arial Narrow" w:hAnsi="Arial Narrow"/>
                <w:bCs/>
                <w:sz w:val="22"/>
              </w:rPr>
              <w:t xml:space="preserve">Gesellschaft für Pädiatrische Onkologie und Hämatologie. (GPOH), der </w:t>
            </w:r>
            <w:r w:rsidRPr="00180602">
              <w:rPr>
                <w:rFonts w:ascii="Arial Narrow" w:hAnsi="Arial Narrow"/>
                <w:sz w:val="22"/>
              </w:rPr>
              <w:t>Deutschen Gesellschaft für Hämatologie und Onkologie e.V. (DGHO) formuliert und der Deutschen Arbeitsgemeinschaft für Blutstammzelltransplantation e.V. (DAG-KBT) vorformuliert.</w:t>
            </w:r>
          </w:p>
        </w:tc>
      </w:tr>
    </w:tbl>
    <w:p w14:paraId="1FC9B259"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FD17A6F" w14:textId="77777777">
        <w:tc>
          <w:tcPr>
            <w:tcW w:w="9212" w:type="dxa"/>
          </w:tcPr>
          <w:p w14:paraId="17CBC857" w14:textId="77777777" w:rsidR="008E6675" w:rsidRPr="005638EB" w:rsidRDefault="008E6675" w:rsidP="005638EB">
            <w:pPr>
              <w:rPr>
                <w:rFonts w:ascii="Arial Narrow" w:hAnsi="Arial Narrow"/>
                <w:b/>
              </w:rPr>
            </w:pPr>
            <w:r w:rsidRPr="005638EB">
              <w:rPr>
                <w:rFonts w:ascii="Arial Narrow" w:hAnsi="Arial Narrow"/>
                <w:b/>
                <w:sz w:val="22"/>
              </w:rPr>
              <w:t>1.1 Angefragte Untersuchungs- und Behandlungsmethode (Kurzbezeichnung)</w:t>
            </w:r>
          </w:p>
        </w:tc>
      </w:tr>
      <w:tr w:rsidR="008E6675" w:rsidRPr="007F255B" w14:paraId="60EC4E46" w14:textId="77777777">
        <w:tc>
          <w:tcPr>
            <w:tcW w:w="9212" w:type="dxa"/>
          </w:tcPr>
          <w:p w14:paraId="2252E372" w14:textId="77777777" w:rsidR="008E6675" w:rsidRPr="007F255B" w:rsidRDefault="005F6DEF" w:rsidP="005638EB">
            <w:pPr>
              <w:rPr>
                <w:rFonts w:ascii="Arial Narrow" w:hAnsi="Arial Narrow"/>
                <w:color w:val="00B050"/>
                <w:sz w:val="22"/>
              </w:rPr>
            </w:pPr>
            <w:r w:rsidRPr="00180602">
              <w:rPr>
                <w:rFonts w:ascii="Arial Narrow" w:hAnsi="Arial Narrow"/>
                <w:sz w:val="22"/>
              </w:rPr>
              <w:t>Übertragung von virusspezifischen Spender-Immunzellen nach allogener Stammzelltransplantation (SZT)</w:t>
            </w:r>
          </w:p>
        </w:tc>
      </w:tr>
    </w:tbl>
    <w:p w14:paraId="6483C6AB"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EDCC1FD" w14:textId="77777777">
        <w:tc>
          <w:tcPr>
            <w:tcW w:w="9212" w:type="dxa"/>
          </w:tcPr>
          <w:p w14:paraId="2E6975E6" w14:textId="77777777" w:rsidR="008E6675" w:rsidRPr="005638EB" w:rsidRDefault="008E6675" w:rsidP="00596F9A">
            <w:pPr>
              <w:tabs>
                <w:tab w:val="left" w:pos="7465"/>
              </w:tabs>
              <w:rPr>
                <w:rFonts w:ascii="Arial Narrow" w:hAnsi="Arial Narrow"/>
                <w:b/>
              </w:rPr>
            </w:pPr>
            <w:r w:rsidRPr="005638EB">
              <w:rPr>
                <w:rFonts w:ascii="Arial Narrow" w:hAnsi="Arial Narrow"/>
                <w:b/>
                <w:sz w:val="22"/>
              </w:rPr>
              <w:t>1.2 Alternative Bezeichnung(en) der Methode</w:t>
            </w:r>
            <w:r>
              <w:rPr>
                <w:rFonts w:ascii="Arial Narrow" w:hAnsi="Arial Narrow"/>
                <w:b/>
                <w:sz w:val="22"/>
              </w:rPr>
              <w:tab/>
            </w:r>
          </w:p>
        </w:tc>
      </w:tr>
      <w:tr w:rsidR="008E6675" w:rsidRPr="005638EB" w14:paraId="06386C15" w14:textId="77777777">
        <w:tc>
          <w:tcPr>
            <w:tcW w:w="9212" w:type="dxa"/>
          </w:tcPr>
          <w:p w14:paraId="160ABAB0" w14:textId="77777777" w:rsidR="005F6DEF" w:rsidRPr="00180602" w:rsidRDefault="005F6DEF" w:rsidP="00180602">
            <w:pPr>
              <w:rPr>
                <w:rFonts w:ascii="Arial Narrow" w:hAnsi="Arial Narrow"/>
                <w:bCs/>
                <w:sz w:val="22"/>
              </w:rPr>
            </w:pPr>
            <w:r w:rsidRPr="00180602">
              <w:rPr>
                <w:rFonts w:ascii="Arial Narrow" w:hAnsi="Arial Narrow"/>
                <w:bCs/>
                <w:sz w:val="22"/>
              </w:rPr>
              <w:t>Gabe von separierten Antigen-spezifischen CD4+ und CD8+ T-Zellen bei viraler Infektion nach allogener Stammzelltransplantation (Gewinnung mit CliniMACS</w:t>
            </w:r>
            <w:r w:rsidRPr="00C4679B">
              <w:rPr>
                <w:rFonts w:ascii="Arial Narrow" w:hAnsi="Arial Narrow"/>
                <w:bCs/>
                <w:sz w:val="22"/>
                <w:vertAlign w:val="superscript"/>
              </w:rPr>
              <w:t>®</w:t>
            </w:r>
            <w:r w:rsidRPr="00180602">
              <w:rPr>
                <w:rFonts w:ascii="Arial Narrow" w:hAnsi="Arial Narrow"/>
                <w:bCs/>
                <w:sz w:val="22"/>
              </w:rPr>
              <w:t xml:space="preserve">-System).    </w:t>
            </w:r>
          </w:p>
          <w:p w14:paraId="34A8B91F" w14:textId="77777777" w:rsidR="005F6DEF" w:rsidRPr="00180602" w:rsidRDefault="005F6DEF" w:rsidP="00180602">
            <w:pPr>
              <w:rPr>
                <w:rFonts w:ascii="Arial Narrow" w:hAnsi="Arial Narrow"/>
                <w:bCs/>
                <w:sz w:val="22"/>
              </w:rPr>
            </w:pPr>
            <w:r w:rsidRPr="00180602">
              <w:rPr>
                <w:rFonts w:ascii="Arial Narrow" w:hAnsi="Arial Narrow"/>
                <w:bCs/>
                <w:sz w:val="22"/>
              </w:rPr>
              <w:t>Cytovir CMV</w:t>
            </w:r>
            <w:r w:rsidRPr="00C4679B">
              <w:rPr>
                <w:rFonts w:ascii="Arial Narrow" w:hAnsi="Arial Narrow"/>
                <w:bCs/>
                <w:sz w:val="22"/>
                <w:vertAlign w:val="superscript"/>
              </w:rPr>
              <w:t>®</w:t>
            </w:r>
            <w:r w:rsidRPr="00180602">
              <w:rPr>
                <w:rFonts w:ascii="Arial Narrow" w:hAnsi="Arial Narrow"/>
                <w:bCs/>
                <w:sz w:val="22"/>
              </w:rPr>
              <w:t xml:space="preserve">.  </w:t>
            </w:r>
          </w:p>
          <w:p w14:paraId="47D2A32B" w14:textId="77777777" w:rsidR="005F6DEF" w:rsidRPr="00180602" w:rsidRDefault="005F6DEF" w:rsidP="00180602">
            <w:pPr>
              <w:rPr>
                <w:rFonts w:ascii="Arial Narrow" w:hAnsi="Arial Narrow"/>
                <w:bCs/>
                <w:sz w:val="22"/>
              </w:rPr>
            </w:pPr>
            <w:r w:rsidRPr="00180602">
              <w:rPr>
                <w:rFonts w:ascii="Arial Narrow" w:hAnsi="Arial Narrow"/>
                <w:bCs/>
                <w:sz w:val="22"/>
              </w:rPr>
              <w:t xml:space="preserve">Donor-Lymphozyten mit in-vitro-Aufbereitung bei schweren Infektionen nach Stammzelltransplantation. </w:t>
            </w:r>
          </w:p>
          <w:p w14:paraId="76CA7857" w14:textId="77777777" w:rsidR="005F6DEF" w:rsidRPr="00180602" w:rsidRDefault="005F6DEF" w:rsidP="00180602">
            <w:pPr>
              <w:rPr>
                <w:rFonts w:ascii="Arial Narrow" w:hAnsi="Arial Narrow"/>
                <w:bCs/>
                <w:sz w:val="22"/>
              </w:rPr>
            </w:pPr>
            <w:r w:rsidRPr="00180602">
              <w:rPr>
                <w:rFonts w:ascii="Arial Narrow" w:hAnsi="Arial Narrow"/>
                <w:bCs/>
                <w:sz w:val="22"/>
              </w:rPr>
              <w:t xml:space="preserve">Adoptiver T-Zelltransfer von CMV-spezifischen zytotoxischen T-Zellen. </w:t>
            </w:r>
          </w:p>
          <w:p w14:paraId="5077ABFF" w14:textId="77777777" w:rsidR="005F6DEF" w:rsidRPr="00180602" w:rsidRDefault="005F6DEF" w:rsidP="00180602">
            <w:pPr>
              <w:rPr>
                <w:rFonts w:ascii="Arial Narrow" w:hAnsi="Arial Narrow"/>
                <w:bCs/>
                <w:sz w:val="22"/>
              </w:rPr>
            </w:pPr>
            <w:r w:rsidRPr="00180602">
              <w:rPr>
                <w:rFonts w:ascii="Arial Narrow" w:hAnsi="Arial Narrow"/>
                <w:bCs/>
                <w:sz w:val="22"/>
              </w:rPr>
              <w:t>Adoptiver T-Zelltransfer von EBV-spezifischen zytotoxischen T-Zellen.</w:t>
            </w:r>
          </w:p>
          <w:p w14:paraId="1A0E425C" w14:textId="77777777" w:rsidR="005F6DEF" w:rsidRPr="00180602" w:rsidRDefault="005F6DEF" w:rsidP="00180602">
            <w:pPr>
              <w:rPr>
                <w:rFonts w:ascii="Arial Narrow" w:hAnsi="Arial Narrow"/>
                <w:bCs/>
                <w:sz w:val="22"/>
              </w:rPr>
            </w:pPr>
            <w:r w:rsidRPr="00180602">
              <w:rPr>
                <w:rFonts w:ascii="Arial Narrow" w:hAnsi="Arial Narrow"/>
                <w:bCs/>
                <w:sz w:val="22"/>
              </w:rPr>
              <w:t>Adoptiver T-Zelltransfer von Adenovirus-spezifischen zytotoxischen T-Zellen.</w:t>
            </w:r>
          </w:p>
          <w:p w14:paraId="30148C67" w14:textId="77777777" w:rsidR="005F6DEF" w:rsidRPr="00180602" w:rsidRDefault="005F6DEF" w:rsidP="00180602">
            <w:pPr>
              <w:rPr>
                <w:rFonts w:ascii="Arial Narrow" w:hAnsi="Arial Narrow"/>
                <w:bCs/>
                <w:sz w:val="22"/>
              </w:rPr>
            </w:pPr>
            <w:r w:rsidRPr="00180602">
              <w:rPr>
                <w:rFonts w:ascii="Arial Narrow" w:hAnsi="Arial Narrow"/>
                <w:bCs/>
                <w:sz w:val="22"/>
              </w:rPr>
              <w:t>Adoptiver T-Zelltransfer zur Therapie viraler Infektionen nach allogener Stammzelltransplantation</w:t>
            </w:r>
          </w:p>
          <w:p w14:paraId="1F5B221D" w14:textId="77777777" w:rsidR="008E6675" w:rsidRPr="005638EB" w:rsidRDefault="008E6675" w:rsidP="005638EB">
            <w:pPr>
              <w:rPr>
                <w:rFonts w:ascii="Arial Narrow" w:hAnsi="Arial Narrow"/>
              </w:rPr>
            </w:pPr>
          </w:p>
        </w:tc>
      </w:tr>
    </w:tbl>
    <w:p w14:paraId="3D972849"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4897F215" w14:textId="77777777" w:rsidTr="004C4F82">
        <w:tc>
          <w:tcPr>
            <w:tcW w:w="9212" w:type="dxa"/>
            <w:tcBorders>
              <w:top w:val="single" w:sz="4" w:space="0" w:color="auto"/>
              <w:left w:val="single" w:sz="4" w:space="0" w:color="auto"/>
              <w:bottom w:val="single" w:sz="4" w:space="0" w:color="auto"/>
              <w:right w:val="single" w:sz="4" w:space="0" w:color="auto"/>
            </w:tcBorders>
          </w:tcPr>
          <w:p w14:paraId="6AF15D5F" w14:textId="77777777" w:rsidR="004C4F82" w:rsidRPr="004C4F82" w:rsidRDefault="004C4F82" w:rsidP="004C4F82">
            <w:pPr>
              <w:tabs>
                <w:tab w:val="left" w:pos="7465"/>
              </w:tabs>
              <w:rPr>
                <w:rFonts w:ascii="Arial Narrow" w:hAnsi="Arial Narrow"/>
                <w:b/>
                <w:sz w:val="22"/>
              </w:rPr>
            </w:pPr>
            <w:r>
              <w:rPr>
                <w:rFonts w:ascii="Arial Narrow" w:hAnsi="Arial Narrow"/>
                <w:b/>
                <w:sz w:val="22"/>
              </w:rPr>
              <w:t>1.3</w:t>
            </w:r>
            <w:r w:rsidRPr="004C4F82">
              <w:rPr>
                <w:rFonts w:ascii="Arial Narrow" w:hAnsi="Arial Narrow"/>
                <w:b/>
                <w:sz w:val="22"/>
              </w:rPr>
              <w:t xml:space="preserve"> 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BE4A514" w14:textId="77777777" w:rsidTr="004C4F82">
        <w:tc>
          <w:tcPr>
            <w:tcW w:w="9212" w:type="dxa"/>
            <w:tcBorders>
              <w:top w:val="single" w:sz="4" w:space="0" w:color="auto"/>
              <w:left w:val="single" w:sz="4" w:space="0" w:color="auto"/>
              <w:bottom w:val="single" w:sz="4" w:space="0" w:color="auto"/>
              <w:right w:val="single" w:sz="4" w:space="0" w:color="auto"/>
            </w:tcBorders>
          </w:tcPr>
          <w:p w14:paraId="082EF11D" w14:textId="77777777" w:rsidR="004C4F82" w:rsidRPr="004C4F82" w:rsidRDefault="004C4F82" w:rsidP="004C4F82">
            <w:pPr>
              <w:rPr>
                <w:rFonts w:ascii="Arial Narrow" w:hAnsi="Arial Narrow"/>
                <w:color w:val="00B050"/>
                <w:sz w:val="22"/>
              </w:rPr>
            </w:pPr>
            <w:r w:rsidRPr="0036325A">
              <w:rPr>
                <w:rFonts w:ascii="Arial Narrow" w:hAnsi="Arial Narrow"/>
                <w:color w:val="00B050"/>
                <w:sz w:val="22"/>
              </w:rPr>
              <w:t xml:space="preserve">Hier </w:t>
            </w:r>
            <w:r>
              <w:rPr>
                <w:rFonts w:ascii="Arial Narrow" w:hAnsi="Arial Narrow"/>
                <w:color w:val="00B050"/>
                <w:sz w:val="22"/>
              </w:rPr>
              <w:t>nein ankreuzen</w:t>
            </w:r>
          </w:p>
        </w:tc>
      </w:tr>
    </w:tbl>
    <w:p w14:paraId="5D9DA4F0"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7DA6014D" w14:textId="77777777" w:rsidTr="00980A06">
        <w:tc>
          <w:tcPr>
            <w:tcW w:w="9212" w:type="dxa"/>
          </w:tcPr>
          <w:p w14:paraId="03CD7FA1" w14:textId="77777777" w:rsidR="00492AB4" w:rsidRPr="005638EB" w:rsidRDefault="004C4F82" w:rsidP="00DC6CBD">
            <w:pPr>
              <w:tabs>
                <w:tab w:val="left" w:pos="7465"/>
              </w:tabs>
              <w:rPr>
                <w:rFonts w:ascii="Arial Narrow" w:hAnsi="Arial Narrow"/>
                <w:b/>
              </w:rPr>
            </w:pPr>
            <w:r>
              <w:rPr>
                <w:rFonts w:ascii="Arial Narrow" w:hAnsi="Arial Narrow"/>
                <w:b/>
                <w:sz w:val="22"/>
              </w:rPr>
              <w:t xml:space="preserve">1.4 </w:t>
            </w:r>
            <w:r w:rsidR="00492AB4">
              <w:rPr>
                <w:rFonts w:ascii="Arial Narrow" w:hAnsi="Arial Narrow"/>
                <w:b/>
                <w:sz w:val="22"/>
              </w:rPr>
              <w:t>Wurde für diese angefrag</w:t>
            </w:r>
            <w:r w:rsidR="00DC6CBD">
              <w:rPr>
                <w:rFonts w:ascii="Arial Narrow" w:hAnsi="Arial Narrow"/>
                <w:b/>
                <w:sz w:val="22"/>
              </w:rPr>
              <w:t>te Untersuchungs- und Behandlungsmethode von Ihrem Kranke</w:t>
            </w:r>
            <w:r>
              <w:rPr>
                <w:rFonts w:ascii="Arial Narrow" w:hAnsi="Arial Narrow"/>
                <w:b/>
                <w:sz w:val="22"/>
              </w:rPr>
              <w:t>nhaus bereits vor dem 01.01.2017</w:t>
            </w:r>
            <w:r w:rsidR="00DC6CBD">
              <w:rPr>
                <w:rFonts w:ascii="Arial Narrow" w:hAnsi="Arial Narrow"/>
                <w:b/>
                <w:sz w:val="22"/>
              </w:rPr>
              <w:t xml:space="preserve"> eine Anfrage gemäß §6 Abs. 2 KHEntG an das InEK übermittelt</w:t>
            </w:r>
            <w:r w:rsidR="00492AB4">
              <w:rPr>
                <w:rFonts w:ascii="Arial Narrow" w:hAnsi="Arial Narrow"/>
                <w:b/>
                <w:sz w:val="22"/>
              </w:rPr>
              <w:t xml:space="preserve"> </w:t>
            </w:r>
            <w:r w:rsidR="00492AB4">
              <w:rPr>
                <w:rFonts w:ascii="Arial Narrow" w:hAnsi="Arial Narrow"/>
                <w:b/>
                <w:sz w:val="22"/>
              </w:rPr>
              <w:tab/>
            </w:r>
          </w:p>
        </w:tc>
      </w:tr>
      <w:tr w:rsidR="00492AB4" w:rsidRPr="005638EB" w14:paraId="0BB5E4B9" w14:textId="77777777" w:rsidTr="00980A06">
        <w:tc>
          <w:tcPr>
            <w:tcW w:w="9212" w:type="dxa"/>
          </w:tcPr>
          <w:p w14:paraId="648CE18E" w14:textId="77777777" w:rsidR="00492AB4" w:rsidRPr="005638EB" w:rsidRDefault="00DC6CBD" w:rsidP="00980A06">
            <w:pPr>
              <w:rPr>
                <w:rFonts w:ascii="Arial Narrow" w:hAnsi="Arial Narrow"/>
              </w:rPr>
            </w:pPr>
            <w:r w:rsidRPr="00DC6CBD">
              <w:rPr>
                <w:rFonts w:ascii="Arial Narrow" w:hAnsi="Arial Narrow"/>
                <w:sz w:val="22"/>
                <w:highlight w:val="yellow"/>
              </w:rPr>
              <w:t>Ja/nein</w:t>
            </w:r>
          </w:p>
        </w:tc>
      </w:tr>
    </w:tbl>
    <w:p w14:paraId="5C144268"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610CC3" w14:textId="77777777">
        <w:tc>
          <w:tcPr>
            <w:tcW w:w="9212" w:type="dxa"/>
          </w:tcPr>
          <w:p w14:paraId="10446846" w14:textId="77777777" w:rsidR="008E6675" w:rsidRPr="005638EB" w:rsidRDefault="004C4F82" w:rsidP="005638EB">
            <w:pPr>
              <w:rPr>
                <w:rFonts w:ascii="Arial Narrow" w:hAnsi="Arial Narrow"/>
                <w:b/>
              </w:rPr>
            </w:pPr>
            <w:r>
              <w:rPr>
                <w:rFonts w:ascii="Arial Narrow" w:hAnsi="Arial Narrow"/>
                <w:b/>
                <w:sz w:val="22"/>
              </w:rPr>
              <w:t>1.5</w:t>
            </w:r>
            <w:r w:rsidR="008E6675" w:rsidRPr="005638EB">
              <w:rPr>
                <w:rFonts w:ascii="Arial Narrow" w:hAnsi="Arial Narrow"/>
                <w:b/>
                <w:sz w:val="22"/>
              </w:rPr>
              <w:t xml:space="preserve"> Beschreibung der neuen Methode</w:t>
            </w:r>
          </w:p>
        </w:tc>
      </w:tr>
      <w:tr w:rsidR="008E6675" w:rsidRPr="005F6DEF" w14:paraId="51965ECF" w14:textId="77777777">
        <w:tc>
          <w:tcPr>
            <w:tcW w:w="9212" w:type="dxa"/>
          </w:tcPr>
          <w:p w14:paraId="45336BAF" w14:textId="24DB49C4" w:rsidR="005F6DEF" w:rsidRPr="00180602" w:rsidRDefault="005F6DEF" w:rsidP="00180602">
            <w:pPr>
              <w:rPr>
                <w:rFonts w:ascii="Arial Narrow" w:hAnsi="Arial Narrow"/>
                <w:sz w:val="22"/>
              </w:rPr>
            </w:pPr>
            <w:r w:rsidRPr="00180602">
              <w:rPr>
                <w:rFonts w:ascii="Arial Narrow" w:hAnsi="Arial Narrow"/>
                <w:sz w:val="22"/>
              </w:rPr>
              <w:t xml:space="preserve">In-vitro-aufbereitete Spender-Lymphozyten, werden dem  Patienten gegeben bzw. übertragen, der nach einer allogenen Stammzelltransplantation (SZT) an einer Virusinfektion leidet, die mit Virostatika (Chemotherapie gegen Viren) nicht beherrschbar ist. Diese speziell für diesen Patienten aufbereiteten Spenderlymphozyten sind spezifisch gegen die Virusinfektion gerichtet, an der der Patient leidet. </w:t>
            </w:r>
          </w:p>
          <w:p w14:paraId="60B6E00E" w14:textId="77777777" w:rsidR="005F6DEF" w:rsidRPr="00180602" w:rsidRDefault="005F6DEF" w:rsidP="00180602">
            <w:pPr>
              <w:rPr>
                <w:rFonts w:ascii="Arial Narrow" w:hAnsi="Arial Narrow"/>
                <w:sz w:val="22"/>
              </w:rPr>
            </w:pPr>
            <w:r w:rsidRPr="00180602">
              <w:rPr>
                <w:rFonts w:ascii="Arial Narrow" w:hAnsi="Arial Narrow"/>
                <w:sz w:val="22"/>
              </w:rPr>
              <w:t>Die Herstellung erfolgt in GMP-Laboren einzelner Kliniken und  ist teilweise (CliniMACS</w:t>
            </w:r>
            <w:r w:rsidRPr="00C4679B">
              <w:rPr>
                <w:rFonts w:ascii="Arial Narrow" w:hAnsi="Arial Narrow"/>
                <w:sz w:val="22"/>
                <w:vertAlign w:val="superscript"/>
              </w:rPr>
              <w:t>®</w:t>
            </w:r>
            <w:r w:rsidRPr="00180602">
              <w:rPr>
                <w:rFonts w:ascii="Arial Narrow" w:hAnsi="Arial Narrow"/>
                <w:sz w:val="22"/>
              </w:rPr>
              <w:t xml:space="preserve">  (Cytokine Capture System</w:t>
            </w:r>
            <w:r w:rsidR="00BD5C51">
              <w:rPr>
                <w:rFonts w:ascii="Arial Narrow" w:hAnsi="Arial Narrow"/>
                <w:sz w:val="22"/>
              </w:rPr>
              <w:t xml:space="preserve"> Streptamere</w:t>
            </w:r>
            <w:r w:rsidRPr="00180602">
              <w:rPr>
                <w:rFonts w:ascii="Arial Narrow" w:hAnsi="Arial Narrow"/>
                <w:sz w:val="22"/>
              </w:rPr>
              <w:t>)) oder ganz kommerziell (Cytovir CMV</w:t>
            </w:r>
            <w:r w:rsidRPr="00C4679B">
              <w:rPr>
                <w:rFonts w:ascii="Arial Narrow" w:hAnsi="Arial Narrow"/>
                <w:sz w:val="22"/>
                <w:vertAlign w:val="superscript"/>
              </w:rPr>
              <w:t>®</w:t>
            </w:r>
            <w:r w:rsidRPr="00180602">
              <w:rPr>
                <w:rFonts w:ascii="Arial Narrow" w:hAnsi="Arial Narrow"/>
                <w:sz w:val="22"/>
              </w:rPr>
              <w:t xml:space="preserve">  der Firma Cell MedicaGmbH Berlin) erhältlich. Der Herstellungsprozess  dieser Zellen erfolgt in  zwei gering unterschiedlichen Prozessen bezüglich der Selektion  der Zellen.</w:t>
            </w:r>
          </w:p>
          <w:p w14:paraId="62BE5DDD" w14:textId="77777777" w:rsidR="005F6DEF" w:rsidRPr="00180602" w:rsidRDefault="005F6DEF" w:rsidP="00180602">
            <w:pPr>
              <w:rPr>
                <w:rFonts w:ascii="Arial Narrow" w:hAnsi="Arial Narrow"/>
                <w:sz w:val="22"/>
              </w:rPr>
            </w:pPr>
            <w:r w:rsidRPr="00180602">
              <w:rPr>
                <w:rFonts w:ascii="Arial Narrow" w:hAnsi="Arial Narrow"/>
                <w:sz w:val="22"/>
              </w:rPr>
              <w:t>Gemeinsam ist, dass die T- Lymphozyten eines gesunden, seropositiven (für die zu behandelnde Virusinfektion besteht eine Immunantwort beim Spender) Spenders selektiert  und dann dem Patienten mittels einer Infusion/Transfusion  gegeben werden. Das Immunsystem des Patienten ist dann mit Hilfe dieser Zellen in der Lage, die Infektion gezielt und langanhaltend zu bekämpfen und zu kontrollieren.</w:t>
            </w:r>
          </w:p>
          <w:p w14:paraId="3C23CCE3" w14:textId="77777777" w:rsidR="005F6DEF" w:rsidRPr="00180602" w:rsidRDefault="005F6DEF" w:rsidP="00180602">
            <w:pPr>
              <w:rPr>
                <w:rFonts w:ascii="Arial Narrow" w:hAnsi="Arial Narrow"/>
                <w:sz w:val="22"/>
              </w:rPr>
            </w:pPr>
          </w:p>
          <w:p w14:paraId="447805FE" w14:textId="089C2CCE" w:rsidR="005F6DEF" w:rsidRPr="00180602" w:rsidRDefault="005F6DEF" w:rsidP="00180602">
            <w:pPr>
              <w:rPr>
                <w:rFonts w:ascii="Arial Narrow" w:hAnsi="Arial Narrow"/>
                <w:sz w:val="22"/>
              </w:rPr>
            </w:pPr>
            <w:r w:rsidRPr="00180602">
              <w:rPr>
                <w:rFonts w:ascii="Arial Narrow" w:hAnsi="Arial Narrow"/>
                <w:sz w:val="22"/>
              </w:rPr>
              <w:t>Die Selektion kann entweder mit Streptameren oder mittels Cytokin-Capture</w:t>
            </w:r>
            <w:r w:rsidR="007521E1">
              <w:rPr>
                <w:rFonts w:ascii="Arial Narrow" w:hAnsi="Arial Narrow"/>
                <w:sz w:val="22"/>
              </w:rPr>
              <w:t>-</w:t>
            </w:r>
            <w:r w:rsidRPr="00180602">
              <w:rPr>
                <w:rFonts w:ascii="Arial Narrow" w:hAnsi="Arial Narrow"/>
                <w:sz w:val="22"/>
              </w:rPr>
              <w:t>Assay durchgeführt werden. Beide Methoden werden in GMP-Labore einzelner Kliniken eingesetzt. Die Streptamer-Methode ist inzwischen auch kommerziell unter dem Namen Cytovir CMV</w:t>
            </w:r>
            <w:r w:rsidRPr="00C4679B">
              <w:rPr>
                <w:rFonts w:ascii="Arial Narrow" w:hAnsi="Arial Narrow"/>
                <w:sz w:val="22"/>
                <w:vertAlign w:val="superscript"/>
              </w:rPr>
              <w:t>®</w:t>
            </w:r>
            <w:r w:rsidRPr="00180602">
              <w:rPr>
                <w:rFonts w:ascii="Arial Narrow" w:hAnsi="Arial Narrow"/>
                <w:sz w:val="22"/>
              </w:rPr>
              <w:t xml:space="preserve"> verfügbar, steht  aber nur für die Behandlung von CMV -Infektionen </w:t>
            </w:r>
            <w:r w:rsidRPr="00180602">
              <w:rPr>
                <w:rFonts w:ascii="Arial Narrow" w:hAnsi="Arial Narrow"/>
                <w:sz w:val="22"/>
              </w:rPr>
              <w:lastRenderedPageBreak/>
              <w:t>zur Verfügung. Beim Cytokin-</w:t>
            </w:r>
            <w:r w:rsidR="006D6EFC" w:rsidRPr="00180602">
              <w:rPr>
                <w:rFonts w:ascii="Arial Narrow" w:hAnsi="Arial Narrow"/>
                <w:sz w:val="22"/>
              </w:rPr>
              <w:t>Capture</w:t>
            </w:r>
            <w:r w:rsidR="006D6EFC">
              <w:rPr>
                <w:rFonts w:ascii="Arial Narrow" w:hAnsi="Arial Narrow"/>
                <w:sz w:val="22"/>
              </w:rPr>
              <w:t>-</w:t>
            </w:r>
            <w:r w:rsidRPr="00180602">
              <w:rPr>
                <w:rFonts w:ascii="Arial Narrow" w:hAnsi="Arial Narrow"/>
                <w:sz w:val="22"/>
              </w:rPr>
              <w:t>System  mittels CliniMACS</w:t>
            </w:r>
            <w:r w:rsidRPr="00C4679B">
              <w:rPr>
                <w:rFonts w:ascii="Arial Narrow" w:hAnsi="Arial Narrow"/>
                <w:sz w:val="22"/>
                <w:vertAlign w:val="superscript"/>
              </w:rPr>
              <w:t>®</w:t>
            </w:r>
            <w:r w:rsidRPr="00180602">
              <w:rPr>
                <w:rFonts w:ascii="Arial Narrow" w:hAnsi="Arial Narrow"/>
                <w:sz w:val="22"/>
              </w:rPr>
              <w:t xml:space="preserve"> ist nur ein Teil des Prozesses (das Cytokin-Capture-Assay)  kommerziell erhältlich  (hier können aber nicht nur gegen CMV-gerichtete Lymphozyten, sondern auch gegen andere Viren gerichtete Lymphozyten hergestellt werden). In den klinischen Ergebnissen ist bisher kein Unterschied in der Wirksamkeit gesehen worden, auch wenn eine vergleichende Studie bisher fehlt. </w:t>
            </w:r>
          </w:p>
          <w:p w14:paraId="4B8ABFD5" w14:textId="77777777" w:rsidR="005F6DEF" w:rsidRPr="00180602" w:rsidRDefault="005F6DEF" w:rsidP="00180602">
            <w:pPr>
              <w:rPr>
                <w:rFonts w:ascii="Arial Narrow" w:hAnsi="Arial Narrow"/>
                <w:sz w:val="22"/>
              </w:rPr>
            </w:pPr>
          </w:p>
          <w:p w14:paraId="60DCEEC1" w14:textId="77777777" w:rsidR="005F6DEF" w:rsidRPr="00180602" w:rsidRDefault="005F6DEF" w:rsidP="005F6DEF">
            <w:pPr>
              <w:rPr>
                <w:rFonts w:ascii="Arial Narrow" w:hAnsi="Arial Narrow"/>
                <w:sz w:val="22"/>
              </w:rPr>
            </w:pPr>
            <w:r w:rsidRPr="00180602">
              <w:rPr>
                <w:rFonts w:ascii="Arial Narrow" w:hAnsi="Arial Narrow"/>
                <w:sz w:val="22"/>
              </w:rPr>
              <w:t xml:space="preserve">Evidenz </w:t>
            </w:r>
          </w:p>
          <w:p w14:paraId="16C047F2" w14:textId="77777777" w:rsidR="005F6DEF" w:rsidRPr="00180602" w:rsidRDefault="005F6DEF" w:rsidP="00180602">
            <w:pPr>
              <w:rPr>
                <w:rFonts w:ascii="Arial Narrow" w:hAnsi="Arial Narrow"/>
                <w:sz w:val="22"/>
              </w:rPr>
            </w:pPr>
            <w:r w:rsidRPr="00180602">
              <w:rPr>
                <w:rFonts w:ascii="Arial Narrow" w:hAnsi="Arial Narrow"/>
                <w:sz w:val="22"/>
              </w:rPr>
              <w:t>Nachdem in früheren Jahren in mehreren Arbeiten einzelne Fälle beschreiben wurden, die auf die Therapie mit adoptivem T-Zell-Transfer ansprachen (Dong L et al., J Pediatr Hematol. Oncol 2010;32:e31-e37; Schmitt et al. Transfusion 2011; 51:591-599; Feuchtinger T et al. Br J Haematol 2006; 134:64-76; Einsele et al. Blood 2002; 99:3916-3922 u.a.) sind nun auch Serien mit einer größeren Anzahl von Patienten publiziert worden:</w:t>
            </w:r>
          </w:p>
          <w:p w14:paraId="6994BC9E" w14:textId="6A6F7D4D" w:rsidR="005F6DEF" w:rsidRPr="00180602" w:rsidRDefault="005F6DEF" w:rsidP="00180602">
            <w:pPr>
              <w:rPr>
                <w:rFonts w:ascii="Arial Narrow" w:hAnsi="Arial Narrow"/>
                <w:sz w:val="22"/>
              </w:rPr>
            </w:pPr>
            <w:r w:rsidRPr="00180602">
              <w:rPr>
                <w:rFonts w:ascii="Arial Narrow" w:hAnsi="Arial Narrow"/>
                <w:sz w:val="22"/>
              </w:rPr>
              <w:t>Feuchtinger et al, Blood 2010; 116:4360-4367: Von 18 Patienten mit einer CMV-Infektion, die auf Virostatika nicht ansprachen, wurde bei 15 (davon zwei mit Virusencephalitis) eine sehr starke Reduktion der Viruslast bis z. T. unter die Nachweisgrenze erreicht;  Icheva V et al. J Clin Oncol 2013;31:39-48: Bei 7 von 10 Patienten mit schwerer EBV-Infektion nach Transplantation wurde ein klinisches, immunologisches und virales Ansprechen beobachtet, keiner der Patienten verstarb an der Infektion. Von den 3 Patienten ohne Ansprechen sind 2 an der Infektion verstorben; Uhlin et al. Clinical infectious diseases 2012; 55:1064-1073):  6 von7 Patienten mit schweren Virusinfektion nach SZT leben 90 Tage nach SZT noch; .Haque et al. Blood 2007; 15;110:1123-31: Von 33 Patienten mit therapierefraktärem PTLD hatten 52% nach adoptivem T-Zelltransfer  eine Remission nach 6 Monaten; Moosmann et al. Blood 2010;115:2960-2970: 6 Patienten mit PTLD  wurden mit adoptivem T-Zell Transfer behandelt, bei 3 Patienten in sehr fortgeschrittenem Stadium mit Multiorganversagen sprach die Therapie nicht mehr an, 3 Patienten mit einem früheren Stadium der Erkrankung zeigten eine komplette und anhaltende Remission des PTLD.</w:t>
            </w:r>
          </w:p>
          <w:p w14:paraId="0A14F1F6" w14:textId="1280A611" w:rsidR="005F6DEF" w:rsidRPr="00180602" w:rsidRDefault="005F6DEF" w:rsidP="00180602">
            <w:pPr>
              <w:rPr>
                <w:rFonts w:ascii="Arial Narrow" w:hAnsi="Arial Narrow"/>
                <w:sz w:val="22"/>
              </w:rPr>
            </w:pPr>
            <w:r w:rsidRPr="00180602">
              <w:rPr>
                <w:rFonts w:ascii="Arial Narrow" w:hAnsi="Arial Narrow"/>
                <w:sz w:val="22"/>
              </w:rPr>
              <w:t>Patienten mit CMV- oder Adenovirus (ADV)-Reaktivierung nach allogener SZT, die nach 2-wöchiger Virostatika-Therapie kein Absinken der Virus-DNA zeigten, wurden an verschiedenen pädiatrischen und internistischen Abteilungen an deutschen Universitätskliniken (Berlin, Freiburg, Ulm, Tübingen, Würzburg, Dresden, Hannover, Gießen, Essen, Münster, Leipzig, etc.) mit separierten CMV- bzw. ADV-spezifischen T-Zellen behandelt. Die Anzahl der verabreichten T-Zellen variierte zwischen 300 - 75.000 T-Zellen pro kg Körpergewicht. Eine Wirksamkeit, d.h. ein Absinken der Viruslast, setzte nach ein bis vier Wochen ein und war mit einem Anstieg der Virus-spezifischen T-Zellen im Blut des Patienten verbunden</w:t>
            </w:r>
            <w:r w:rsidR="00BB3762">
              <w:rPr>
                <w:rFonts w:ascii="Arial Narrow" w:hAnsi="Arial Narrow"/>
                <w:sz w:val="22"/>
              </w:rPr>
              <w:t xml:space="preserve"> (Feucht et al., Blood 2015)</w:t>
            </w:r>
            <w:r w:rsidRPr="00180602">
              <w:rPr>
                <w:rFonts w:ascii="Arial Narrow" w:hAnsi="Arial Narrow"/>
                <w:sz w:val="22"/>
              </w:rPr>
              <w:t xml:space="preserve">. </w:t>
            </w:r>
          </w:p>
          <w:p w14:paraId="609327CF" w14:textId="77777777" w:rsidR="005F6DEF" w:rsidRPr="00171F1C" w:rsidRDefault="005F6DEF" w:rsidP="005F6DEF">
            <w:pPr>
              <w:autoSpaceDE w:val="0"/>
              <w:autoSpaceDN w:val="0"/>
              <w:adjustRightInd w:val="0"/>
            </w:pPr>
          </w:p>
          <w:p w14:paraId="086B07F2" w14:textId="77777777" w:rsidR="005F6DEF" w:rsidRPr="00180602" w:rsidRDefault="005F6DEF" w:rsidP="00180602">
            <w:pPr>
              <w:rPr>
                <w:rFonts w:ascii="Arial Narrow" w:hAnsi="Arial Narrow"/>
                <w:sz w:val="22"/>
              </w:rPr>
            </w:pPr>
            <w:r w:rsidRPr="00180602">
              <w:rPr>
                <w:rFonts w:ascii="Arial Narrow" w:hAnsi="Arial Narrow"/>
                <w:sz w:val="22"/>
              </w:rPr>
              <w:t>Weitere Fallserien und Publikationen zeigen die Wirksamkeit der Therapie:</w:t>
            </w:r>
          </w:p>
          <w:p w14:paraId="0D1C76EE" w14:textId="77777777" w:rsidR="005F6DEF" w:rsidRPr="00C35F91" w:rsidRDefault="005F6DEF" w:rsidP="00180602">
            <w:pPr>
              <w:rPr>
                <w:rFonts w:ascii="Arial Narrow" w:hAnsi="Arial Narrow"/>
                <w:sz w:val="22"/>
                <w:lang w:val="en-US"/>
              </w:rPr>
            </w:pPr>
            <w:r w:rsidRPr="00C35F91">
              <w:rPr>
                <w:rFonts w:ascii="Arial Narrow" w:hAnsi="Arial Narrow"/>
                <w:sz w:val="22"/>
                <w:lang w:val="en-US"/>
              </w:rPr>
              <w:t>Meyers J D, Flournoy N, Donnall Thomas E.  Risk Factors for Cytomegalovirus Infection after Human Marrow Transplantation. Journal of Infectious Diseases 1986; 153: 478–488.</w:t>
            </w:r>
          </w:p>
          <w:p w14:paraId="180B3BCA" w14:textId="77777777" w:rsidR="005F6DEF" w:rsidRPr="00C35F91" w:rsidRDefault="005F6DEF" w:rsidP="00180602">
            <w:pPr>
              <w:rPr>
                <w:rFonts w:ascii="Arial Narrow" w:hAnsi="Arial Narrow"/>
                <w:sz w:val="22"/>
                <w:lang w:val="en-US"/>
              </w:rPr>
            </w:pPr>
            <w:r w:rsidRPr="00C35F91">
              <w:rPr>
                <w:rFonts w:ascii="Arial Narrow" w:hAnsi="Arial Narrow"/>
                <w:sz w:val="22"/>
                <w:lang w:val="en-US"/>
              </w:rPr>
              <w:t xml:space="preserve">Peggs K S, Verfuerth S, Pizzey A, Khan, Naeem, et al. </w:t>
            </w:r>
            <w:r w:rsidRPr="004908FF">
              <w:rPr>
                <w:rFonts w:ascii="Arial Narrow" w:hAnsi="Arial Narrow"/>
                <w:sz w:val="22"/>
                <w:lang w:val="en-US"/>
              </w:rPr>
              <w:t xml:space="preserve">Adoptive cellular therapy for early cytomegalovirus infection after allogeneic stem-cell transplantation with virus-specific T-cell lines. </w:t>
            </w:r>
            <w:r w:rsidRPr="00C35F91">
              <w:rPr>
                <w:rFonts w:ascii="Arial Narrow" w:hAnsi="Arial Narrow"/>
                <w:sz w:val="22"/>
                <w:lang w:val="en-US"/>
              </w:rPr>
              <w:t>Lancet 2003; 362:1375–1377.</w:t>
            </w:r>
          </w:p>
          <w:p w14:paraId="0201781F" w14:textId="77777777" w:rsidR="005F6DEF" w:rsidRPr="004908FF" w:rsidRDefault="005F6DEF" w:rsidP="005F6DEF">
            <w:pPr>
              <w:rPr>
                <w:rFonts w:ascii="Arial Narrow" w:hAnsi="Arial Narrow"/>
                <w:sz w:val="22"/>
                <w:lang w:val="en-US"/>
              </w:rPr>
            </w:pPr>
            <w:r w:rsidRPr="00C35F91">
              <w:rPr>
                <w:rFonts w:ascii="Arial Narrow" w:hAnsi="Arial Narrow"/>
                <w:sz w:val="22"/>
                <w:lang w:val="en-US"/>
              </w:rPr>
              <w:t xml:space="preserve">Peggs K S, Verfuerth S, Pizzey A, Chow, Shoon-Ling C. et al. </w:t>
            </w:r>
            <w:r w:rsidRPr="004908FF">
              <w:rPr>
                <w:rFonts w:ascii="Arial Narrow" w:hAnsi="Arial Narrow"/>
                <w:sz w:val="22"/>
                <w:lang w:val="en-US"/>
              </w:rPr>
              <w:t>Cytomegalovirus-specific T cell immunotherapy promotes restoration of durable functional antiviral immunity following</w:t>
            </w:r>
            <w:r w:rsidRPr="00A558E7">
              <w:rPr>
                <w:lang w:val="en-US"/>
              </w:rPr>
              <w:t xml:space="preserve"> </w:t>
            </w:r>
            <w:r w:rsidRPr="004908FF">
              <w:rPr>
                <w:rFonts w:ascii="Arial Narrow" w:hAnsi="Arial Narrow"/>
                <w:sz w:val="22"/>
                <w:lang w:val="en-US"/>
              </w:rPr>
              <w:t>allogeneic stem cell transplantation. Clin Infect Dis 2009; 49:1851–1860.</w:t>
            </w:r>
          </w:p>
          <w:p w14:paraId="0D69F889" w14:textId="77777777" w:rsidR="005F6DEF" w:rsidRDefault="005F6DEF" w:rsidP="005F6DEF">
            <w:pPr>
              <w:rPr>
                <w:rFonts w:ascii="Arial Narrow" w:hAnsi="Arial Narrow"/>
                <w:sz w:val="22"/>
                <w:lang w:val="en-US"/>
              </w:rPr>
            </w:pPr>
            <w:r w:rsidRPr="004908FF">
              <w:rPr>
                <w:rFonts w:ascii="Arial Narrow" w:hAnsi="Arial Narrow"/>
                <w:sz w:val="22"/>
                <w:lang w:val="en-US"/>
              </w:rPr>
              <w:t xml:space="preserve">Bao et al. Adoptive immunotherapy with CMV-specific cytotoxic T lymphocytes for Stem Cell Transplant Patients with refractory CMV infections. </w:t>
            </w:r>
            <w:r w:rsidRPr="00C35F91">
              <w:rPr>
                <w:rFonts w:ascii="Arial Narrow" w:hAnsi="Arial Narrow"/>
                <w:sz w:val="22"/>
                <w:lang w:val="en-US"/>
              </w:rPr>
              <w:t xml:space="preserve">J Immunother 2012; 35: Number 3, 2012 </w:t>
            </w:r>
          </w:p>
          <w:p w14:paraId="07598082" w14:textId="77777777" w:rsidR="006D6EFC" w:rsidRPr="00C35F91" w:rsidRDefault="006D6EFC" w:rsidP="005F6DEF">
            <w:pPr>
              <w:rPr>
                <w:rFonts w:ascii="Arial Narrow" w:hAnsi="Arial Narrow"/>
                <w:sz w:val="22"/>
                <w:lang w:val="en-US"/>
              </w:rPr>
            </w:pPr>
          </w:p>
          <w:p w14:paraId="357046E3" w14:textId="77777777" w:rsidR="005F6DEF" w:rsidRPr="00180602" w:rsidRDefault="005F6DEF" w:rsidP="005F6DEF">
            <w:pPr>
              <w:rPr>
                <w:rFonts w:ascii="Arial Narrow" w:hAnsi="Arial Narrow"/>
                <w:sz w:val="22"/>
              </w:rPr>
            </w:pPr>
            <w:r w:rsidRPr="00C35F91">
              <w:rPr>
                <w:rFonts w:ascii="Arial Narrow" w:hAnsi="Arial Narrow"/>
                <w:sz w:val="22"/>
                <w:lang w:val="en-US"/>
              </w:rPr>
              <w:t xml:space="preserve">Reviews über verschiedene Methoden und deren Potenzial sind inzwischen publiziert, u.a.: SaglioF, Hanley P, Bollard C (Cytotherapy, 2014; 16:149-159): The time is now: moving toward virus-specific T cells after allogeneic hematopoietic stem cell transplantation as the standard of care. </w:t>
            </w:r>
            <w:r w:rsidRPr="00180602">
              <w:rPr>
                <w:rFonts w:ascii="Arial Narrow" w:hAnsi="Arial Narrow"/>
                <w:sz w:val="22"/>
              </w:rPr>
              <w:t>Hier wurden die Ergebnisse der bisher publizierten Studien und Fallserien für den Einsatz der Immunzellen bei CMV-, ADV- und EBV-Infektionen aufgeführt als auch die Vor- und Nachteile der Unterschiede der Zellseparationsmethoden diskutiert.</w:t>
            </w:r>
          </w:p>
          <w:p w14:paraId="2F5C35E7" w14:textId="77777777" w:rsidR="005F6DEF" w:rsidRPr="00180602" w:rsidRDefault="005F6DEF" w:rsidP="005F6DEF">
            <w:pPr>
              <w:rPr>
                <w:rFonts w:ascii="Arial Narrow" w:hAnsi="Arial Narrow"/>
                <w:sz w:val="22"/>
              </w:rPr>
            </w:pPr>
            <w:r w:rsidRPr="001D26AB">
              <w:rPr>
                <w:rFonts w:ascii="Arial Narrow" w:hAnsi="Arial Narrow"/>
                <w:sz w:val="22"/>
                <w:lang w:val="en-US"/>
              </w:rPr>
              <w:lastRenderedPageBreak/>
              <w:t>RJ O’ Reilly, G Koehne, AN Hasan, E Doubrovina and S Prockop (Bone Marrow Transplantation (2015) 50, S43–S50): T-cell depleted allogeneic hematopoietic cell transplants as a platform for adoptive therapy with leukemia selective</w:t>
            </w:r>
            <w:r w:rsidR="001D26AB" w:rsidRPr="001D26AB">
              <w:rPr>
                <w:rFonts w:ascii="Arial Narrow" w:hAnsi="Arial Narrow"/>
                <w:sz w:val="22"/>
                <w:lang w:val="en-US"/>
              </w:rPr>
              <w:t xml:space="preserve"> </w:t>
            </w:r>
            <w:r w:rsidRPr="001D26AB">
              <w:rPr>
                <w:rFonts w:ascii="Arial Narrow" w:hAnsi="Arial Narrow"/>
                <w:sz w:val="22"/>
                <w:lang w:val="en-US"/>
              </w:rPr>
              <w:t xml:space="preserve">for virus-specific T-cells. </w:t>
            </w:r>
            <w:r w:rsidRPr="00180602">
              <w:rPr>
                <w:rFonts w:ascii="Arial Narrow" w:hAnsi="Arial Narrow"/>
                <w:sz w:val="22"/>
              </w:rPr>
              <w:t xml:space="preserve">Schmitt A et al  Transfusion 2011. Stemberger C et al Blood 2014. </w:t>
            </w:r>
          </w:p>
          <w:p w14:paraId="7F8CA4AC" w14:textId="77777777" w:rsidR="005F6DEF" w:rsidRPr="005F6DEF" w:rsidRDefault="005F6DEF" w:rsidP="005F6DEF">
            <w:pPr>
              <w:rPr>
                <w:rFonts w:ascii="Arial Narrow" w:hAnsi="Arial Narrow"/>
                <w:lang w:val="en-US"/>
              </w:rPr>
            </w:pPr>
          </w:p>
        </w:tc>
      </w:tr>
    </w:tbl>
    <w:p w14:paraId="10BFFCA6" w14:textId="77777777" w:rsidR="008E6675" w:rsidRPr="005F6DEF" w:rsidRDefault="008E6675" w:rsidP="005638EB">
      <w:pPr>
        <w:rPr>
          <w:rFonts w:ascii="Arial Narrow" w:hAnsi="Arial Narrow"/>
          <w:sz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5F88FF8" w14:textId="77777777">
        <w:tc>
          <w:tcPr>
            <w:tcW w:w="9212" w:type="dxa"/>
          </w:tcPr>
          <w:p w14:paraId="304C30CA" w14:textId="77777777" w:rsidR="008E6675" w:rsidRPr="005638EB" w:rsidRDefault="00983554" w:rsidP="005638EB">
            <w:pPr>
              <w:rPr>
                <w:rFonts w:ascii="Arial Narrow" w:hAnsi="Arial Narrow"/>
                <w:b/>
              </w:rPr>
            </w:pPr>
            <w:r>
              <w:rPr>
                <w:rFonts w:ascii="Arial Narrow" w:hAnsi="Arial Narrow"/>
                <w:b/>
                <w:sz w:val="22"/>
              </w:rPr>
              <w:t>1.6</w:t>
            </w:r>
            <w:r w:rsidR="008E6675" w:rsidRPr="005638EB">
              <w:rPr>
                <w:rFonts w:ascii="Arial Narrow" w:hAnsi="Arial Narrow"/>
                <w:b/>
                <w:sz w:val="22"/>
              </w:rPr>
              <w:t xml:space="preserve"> Mit welchem OPS wird die Methode verschlüsselt?</w:t>
            </w:r>
          </w:p>
        </w:tc>
      </w:tr>
      <w:tr w:rsidR="008E6675" w:rsidRPr="005638EB" w14:paraId="2CE2B1BE" w14:textId="77777777">
        <w:tc>
          <w:tcPr>
            <w:tcW w:w="9212" w:type="dxa"/>
          </w:tcPr>
          <w:p w14:paraId="5BB80E16" w14:textId="77777777" w:rsidR="005F6DEF" w:rsidRPr="00180602" w:rsidRDefault="005F6DEF" w:rsidP="005F6DEF">
            <w:pPr>
              <w:rPr>
                <w:rFonts w:ascii="Arial Narrow" w:hAnsi="Arial Narrow"/>
                <w:sz w:val="22"/>
              </w:rPr>
            </w:pPr>
            <w:r w:rsidRPr="00180602">
              <w:rPr>
                <w:rFonts w:ascii="Arial Narrow" w:hAnsi="Arial Narrow"/>
                <w:sz w:val="22"/>
              </w:rPr>
              <w:t>8-802.42 Lymphozyten vom gleichen Spender nach Transplantation von hämatologischen Stammzellen mit virusspezifischer  In-Vitro-Aufbereitung.</w:t>
            </w:r>
          </w:p>
          <w:p w14:paraId="3F013889" w14:textId="77777777" w:rsidR="004C4F82" w:rsidRPr="00983554" w:rsidRDefault="005F6DEF" w:rsidP="005F6DEF">
            <w:pPr>
              <w:rPr>
                <w:rFonts w:ascii="Arial Narrow" w:hAnsi="Arial Narrow"/>
                <w:sz w:val="22"/>
              </w:rPr>
            </w:pPr>
            <w:r w:rsidRPr="00180602">
              <w:rPr>
                <w:rFonts w:ascii="Arial Narrow" w:hAnsi="Arial Narrow"/>
                <w:sz w:val="22"/>
              </w:rPr>
              <w:t>8-802.21 Lymphozyten mit virusspezifischer In-Vitro-Aufbereitung.</w:t>
            </w:r>
          </w:p>
        </w:tc>
      </w:tr>
    </w:tbl>
    <w:p w14:paraId="0FC994ED" w14:textId="77777777" w:rsidR="00DC6CBD" w:rsidRDefault="00DC6CBD"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48E3D65B" w14:textId="77777777" w:rsidTr="008B2AA1">
        <w:tc>
          <w:tcPr>
            <w:tcW w:w="9212" w:type="dxa"/>
          </w:tcPr>
          <w:p w14:paraId="436305D7" w14:textId="77777777" w:rsidR="004C4F82" w:rsidRPr="005638EB" w:rsidRDefault="00983554" w:rsidP="008B2AA1">
            <w:pPr>
              <w:rPr>
                <w:rFonts w:ascii="Arial Narrow" w:hAnsi="Arial Narrow"/>
                <w:b/>
              </w:rPr>
            </w:pPr>
            <w:r>
              <w:rPr>
                <w:rFonts w:ascii="Arial Narrow" w:hAnsi="Arial Narrow"/>
                <w:b/>
                <w:sz w:val="22"/>
              </w:rPr>
              <w:t xml:space="preserve">1.7 </w:t>
            </w:r>
            <w:r w:rsidR="004C4F82" w:rsidRPr="004C4F82">
              <w:rPr>
                <w:rFonts w:ascii="Arial Narrow" w:hAnsi="Arial Narrow"/>
                <w:b/>
                <w:sz w:val="22"/>
              </w:rPr>
              <w:t>Anmerkungen zu den Proceduren</w:t>
            </w:r>
          </w:p>
        </w:tc>
      </w:tr>
      <w:tr w:rsidR="004C4F82" w:rsidRPr="007F255B" w14:paraId="7DA6E93F" w14:textId="77777777" w:rsidTr="008B2AA1">
        <w:tc>
          <w:tcPr>
            <w:tcW w:w="9212" w:type="dxa"/>
          </w:tcPr>
          <w:p w14:paraId="67A34550" w14:textId="39EE9BD8" w:rsidR="004C4F82" w:rsidRPr="007F255B" w:rsidRDefault="004C4F82" w:rsidP="008B2AA1">
            <w:pPr>
              <w:rPr>
                <w:rFonts w:ascii="Arial Narrow" w:hAnsi="Arial Narrow"/>
                <w:sz w:val="22"/>
                <w:szCs w:val="22"/>
              </w:rPr>
            </w:pPr>
            <w:r w:rsidRPr="004C4F82">
              <w:rPr>
                <w:rFonts w:ascii="Arial Narrow" w:hAnsi="Arial Narrow"/>
                <w:color w:val="00B050"/>
                <w:sz w:val="22"/>
                <w:szCs w:val="22"/>
              </w:rPr>
              <w:t>.</w:t>
            </w:r>
          </w:p>
        </w:tc>
      </w:tr>
    </w:tbl>
    <w:p w14:paraId="074F1844"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25EDEC3" w14:textId="77777777">
        <w:tc>
          <w:tcPr>
            <w:tcW w:w="9212" w:type="dxa"/>
          </w:tcPr>
          <w:p w14:paraId="00629E48" w14:textId="77777777" w:rsidR="008E6675" w:rsidRPr="005638EB" w:rsidRDefault="008E6675" w:rsidP="005638EB">
            <w:pPr>
              <w:rPr>
                <w:rFonts w:ascii="Arial Narrow" w:hAnsi="Arial Narrow"/>
                <w:b/>
              </w:rPr>
            </w:pPr>
            <w:r w:rsidRPr="005638EB">
              <w:rPr>
                <w:rFonts w:ascii="Arial Narrow" w:hAnsi="Arial Narrow"/>
                <w:b/>
                <w:sz w:val="22"/>
              </w:rPr>
              <w:t>2.1 Bei welchen Patienten wird die Methode angewandt (Indikation)?</w:t>
            </w:r>
          </w:p>
        </w:tc>
      </w:tr>
      <w:tr w:rsidR="008E6675" w:rsidRPr="007F255B" w14:paraId="7DBA97F4" w14:textId="77777777">
        <w:tc>
          <w:tcPr>
            <w:tcW w:w="9212" w:type="dxa"/>
          </w:tcPr>
          <w:p w14:paraId="6C94B7EE" w14:textId="77777777" w:rsidR="005F6DEF" w:rsidRPr="00180602" w:rsidRDefault="005F6DEF" w:rsidP="005F6DEF">
            <w:pPr>
              <w:rPr>
                <w:rFonts w:ascii="Arial Narrow" w:hAnsi="Arial Narrow"/>
                <w:sz w:val="22"/>
              </w:rPr>
            </w:pPr>
            <w:r w:rsidRPr="00180602">
              <w:rPr>
                <w:rFonts w:ascii="Arial Narrow" w:hAnsi="Arial Narrow"/>
                <w:sz w:val="22"/>
              </w:rPr>
              <w:t xml:space="preserve">Indikation: Therapierefraktäre Erkrankung durch eines der folgenden Viren. </w:t>
            </w:r>
          </w:p>
          <w:p w14:paraId="20610C91" w14:textId="77777777" w:rsidR="005F6DEF" w:rsidRPr="00180602" w:rsidRDefault="005F6DEF" w:rsidP="005F6DEF">
            <w:pPr>
              <w:rPr>
                <w:rFonts w:ascii="Arial Narrow" w:hAnsi="Arial Narrow"/>
                <w:sz w:val="22"/>
              </w:rPr>
            </w:pPr>
            <w:r w:rsidRPr="00180602">
              <w:rPr>
                <w:rFonts w:ascii="Arial Narrow" w:hAnsi="Arial Narrow"/>
                <w:sz w:val="22"/>
              </w:rPr>
              <w:t xml:space="preserve">1) CMV :  kein Ansprechen der Viruslast auf Ganciclovir bzw. Salvagetherapie mit Foscarnet oder Cidofovir, oder  rezidivierende CMV-Reaktivierungen trotz Therapie mit Virostatika, oder es bestehen Kontraindikationen (Knochenmark- oder Nieren-Insuffizienz) für die Anwendung der oben genannten Virostatika. </w:t>
            </w:r>
          </w:p>
          <w:p w14:paraId="462BC7C1" w14:textId="38BC7482" w:rsidR="005F6DEF" w:rsidRPr="00180602" w:rsidRDefault="005F6DEF" w:rsidP="005F6DEF">
            <w:pPr>
              <w:rPr>
                <w:rFonts w:ascii="Arial Narrow" w:hAnsi="Arial Narrow"/>
                <w:sz w:val="22"/>
              </w:rPr>
            </w:pPr>
            <w:r w:rsidRPr="00180602">
              <w:rPr>
                <w:rFonts w:ascii="Arial Narrow" w:hAnsi="Arial Narrow"/>
                <w:sz w:val="22"/>
              </w:rPr>
              <w:t xml:space="preserve">2) ADV: steigende Viruslast nach der zweiten Gabe von Cidofovir (quantitative PCR aus Serum), oder es bestehen Kontraindikationen (z.B. Niereninsuffizienz) </w:t>
            </w:r>
            <w:r w:rsidR="006D6EFC">
              <w:rPr>
                <w:rFonts w:ascii="Arial Narrow" w:hAnsi="Arial Narrow"/>
                <w:sz w:val="22"/>
              </w:rPr>
              <w:t xml:space="preserve"> </w:t>
            </w:r>
            <w:r w:rsidRPr="00180602">
              <w:rPr>
                <w:rFonts w:ascii="Arial Narrow" w:hAnsi="Arial Narrow"/>
                <w:sz w:val="22"/>
              </w:rPr>
              <w:t xml:space="preserve">für die Anwendung von Cidofovir. </w:t>
            </w:r>
          </w:p>
          <w:p w14:paraId="189B0FFB" w14:textId="30CE6523" w:rsidR="005F6DEF" w:rsidRPr="00180602" w:rsidRDefault="005F6DEF" w:rsidP="005F6DEF">
            <w:pPr>
              <w:rPr>
                <w:rFonts w:ascii="Arial Narrow" w:hAnsi="Arial Narrow"/>
                <w:sz w:val="22"/>
              </w:rPr>
            </w:pPr>
            <w:r w:rsidRPr="00180602">
              <w:rPr>
                <w:rFonts w:ascii="Arial Narrow" w:hAnsi="Arial Narrow"/>
                <w:sz w:val="22"/>
              </w:rPr>
              <w:t xml:space="preserve">3) EBV: ansteigender Virustiter trotz Anwendung von antiviraler Therapie (z.B. Cidofovir) und Rituximab, oder es bestehen Kontraindikationen (z.B. Niereninsuffizienz) für die Anwendung der oben genannten Virostatika. </w:t>
            </w:r>
          </w:p>
          <w:p w14:paraId="0FC0D3FF" w14:textId="77777777" w:rsidR="005F6DEF" w:rsidRPr="00180602" w:rsidRDefault="005F6DEF" w:rsidP="005F6DEF">
            <w:pPr>
              <w:rPr>
                <w:rFonts w:ascii="Arial Narrow" w:hAnsi="Arial Narrow"/>
                <w:sz w:val="22"/>
              </w:rPr>
            </w:pPr>
            <w:r w:rsidRPr="00180602">
              <w:rPr>
                <w:rFonts w:ascii="Arial Narrow" w:hAnsi="Arial Narrow"/>
                <w:sz w:val="22"/>
              </w:rPr>
              <w:t xml:space="preserve">4) EBV-assoziiertes PTLD: Hinweis für Rezidiv nach Erstlinien-Therapie mit Rituximab, z.B. erneut ansteigender Virustiter oder CD20-Downregulation auf den Zielzellen  (nachweisbar mittels FACS). </w:t>
            </w:r>
          </w:p>
          <w:p w14:paraId="73919FDF" w14:textId="77777777" w:rsidR="005F6DEF" w:rsidRPr="00180602" w:rsidRDefault="005F6DEF" w:rsidP="005F6DEF">
            <w:pPr>
              <w:rPr>
                <w:rFonts w:ascii="Arial Narrow" w:hAnsi="Arial Narrow"/>
                <w:sz w:val="22"/>
              </w:rPr>
            </w:pPr>
            <w:r w:rsidRPr="00180602">
              <w:rPr>
                <w:rFonts w:ascii="Arial Narrow" w:hAnsi="Arial Narrow"/>
                <w:sz w:val="22"/>
              </w:rPr>
              <w:t xml:space="preserve"> </w:t>
            </w:r>
          </w:p>
          <w:p w14:paraId="34AF1DBB" w14:textId="77777777" w:rsidR="005F6DEF" w:rsidRPr="00180602" w:rsidRDefault="005F6DEF" w:rsidP="005F6DEF">
            <w:pPr>
              <w:rPr>
                <w:rFonts w:ascii="Arial Narrow" w:hAnsi="Arial Narrow"/>
                <w:sz w:val="22"/>
              </w:rPr>
            </w:pPr>
            <w:r w:rsidRPr="00180602">
              <w:rPr>
                <w:rFonts w:ascii="Arial Narrow" w:hAnsi="Arial Narrow"/>
                <w:sz w:val="22"/>
              </w:rPr>
              <w:t>Cytovir CMV</w:t>
            </w:r>
            <w:r w:rsidRPr="00C4679B">
              <w:rPr>
                <w:rFonts w:ascii="Arial Narrow" w:hAnsi="Arial Narrow"/>
                <w:sz w:val="22"/>
                <w:vertAlign w:val="superscript"/>
              </w:rPr>
              <w:t>®</w:t>
            </w:r>
            <w:r w:rsidRPr="00180602">
              <w:rPr>
                <w:rFonts w:ascii="Arial Narrow" w:hAnsi="Arial Narrow"/>
                <w:sz w:val="22"/>
              </w:rPr>
              <w:t xml:space="preserve"> ist nur geeignet für die unter 1) genannte CMV-Infektion.  </w:t>
            </w:r>
          </w:p>
          <w:p w14:paraId="3D14622E" w14:textId="77777777" w:rsidR="005F6DEF" w:rsidRPr="00DD3B5F" w:rsidRDefault="005F6DEF" w:rsidP="005F6DEF">
            <w:pPr>
              <w:rPr>
                <w:rFonts w:ascii="Arial Narrow" w:hAnsi="Arial Narrow" w:cs="Arial"/>
                <w:sz w:val="22"/>
                <w:szCs w:val="20"/>
                <w:lang w:val="de-CH"/>
              </w:rPr>
            </w:pPr>
          </w:p>
          <w:p w14:paraId="520750FB" w14:textId="77777777" w:rsidR="008E6675" w:rsidRPr="007F255B" w:rsidRDefault="008E6675" w:rsidP="005F6DEF">
            <w:pPr>
              <w:rPr>
                <w:rFonts w:ascii="Arial Narrow" w:hAnsi="Arial Narrow"/>
                <w:sz w:val="22"/>
                <w:szCs w:val="22"/>
              </w:rPr>
            </w:pPr>
          </w:p>
        </w:tc>
      </w:tr>
    </w:tbl>
    <w:p w14:paraId="7A64659F"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F9F5C9D" w14:textId="77777777">
        <w:trPr>
          <w:trHeight w:val="234"/>
        </w:trPr>
        <w:tc>
          <w:tcPr>
            <w:tcW w:w="9212" w:type="dxa"/>
          </w:tcPr>
          <w:p w14:paraId="789B79DF" w14:textId="77777777" w:rsidR="008E6675" w:rsidRPr="005F6DEF" w:rsidRDefault="008E6675" w:rsidP="005638EB">
            <w:pPr>
              <w:rPr>
                <w:rFonts w:ascii="Arial Narrow" w:hAnsi="Arial Narrow"/>
                <w:b/>
                <w:sz w:val="20"/>
              </w:rPr>
            </w:pPr>
            <w:r w:rsidRPr="005F6DEF">
              <w:rPr>
                <w:rFonts w:ascii="Arial Narrow" w:hAnsi="Arial Narrow"/>
                <w:b/>
                <w:sz w:val="20"/>
              </w:rPr>
              <w:t>2.2 Welche bestehende Methode wird durch die neue Methode abgelöst oder ergänzt?</w:t>
            </w:r>
          </w:p>
        </w:tc>
      </w:tr>
      <w:tr w:rsidR="008E6675" w:rsidRPr="007F255B" w14:paraId="62D7B840" w14:textId="77777777">
        <w:tc>
          <w:tcPr>
            <w:tcW w:w="9212" w:type="dxa"/>
          </w:tcPr>
          <w:p w14:paraId="1FB0F5F0" w14:textId="790AB53F" w:rsidR="008E6675" w:rsidRPr="005F6DEF" w:rsidRDefault="005F6DEF" w:rsidP="00817A75">
            <w:pPr>
              <w:rPr>
                <w:rFonts w:ascii="Arial Narrow" w:hAnsi="Arial Narrow"/>
                <w:sz w:val="20"/>
                <w:szCs w:val="22"/>
              </w:rPr>
            </w:pPr>
            <w:r w:rsidRPr="00180602">
              <w:rPr>
                <w:rFonts w:ascii="Arial Narrow" w:hAnsi="Arial Narrow"/>
                <w:sz w:val="22"/>
              </w:rPr>
              <w:t xml:space="preserve">Die Übertragung von virusspezifischen Spender-Immunzellen ist eine neue Behandlungsmethode bei viraler Infektion nach allogener Stammzelltransplantation (SZT). Sie ergänzt oder reduziert möglicherweise die Gabe antiviraler Medikamente, wenn die Wirkung dieser Medikamente unzureichend ist und kann die Medikamentengabe evtl. sogar ersetzen. </w:t>
            </w:r>
          </w:p>
        </w:tc>
      </w:tr>
    </w:tbl>
    <w:p w14:paraId="08C454B5"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1B307FC" w14:textId="77777777">
        <w:tc>
          <w:tcPr>
            <w:tcW w:w="9212" w:type="dxa"/>
          </w:tcPr>
          <w:p w14:paraId="6EF254FB" w14:textId="77777777" w:rsidR="008E6675" w:rsidRPr="005638EB" w:rsidRDefault="008E6675" w:rsidP="00E92C57">
            <w:pPr>
              <w:rPr>
                <w:rFonts w:ascii="Arial Narrow" w:hAnsi="Arial Narrow"/>
                <w:b/>
              </w:rPr>
            </w:pPr>
            <w:r w:rsidRPr="005638EB">
              <w:rPr>
                <w:rFonts w:ascii="Arial Narrow" w:hAnsi="Arial Narrow"/>
                <w:b/>
                <w:sz w:val="22"/>
              </w:rPr>
              <w:t>2.3 Ist die Methode vollständig oder in Teilen neu und warum handelt es sich um eine neue Untersuchungs- und Behandlungsmethode?</w:t>
            </w:r>
          </w:p>
        </w:tc>
      </w:tr>
      <w:tr w:rsidR="008E6675" w:rsidRPr="005638EB" w14:paraId="5944FE39" w14:textId="77777777">
        <w:tc>
          <w:tcPr>
            <w:tcW w:w="9212" w:type="dxa"/>
          </w:tcPr>
          <w:p w14:paraId="2C46307B" w14:textId="77777777" w:rsidR="005F6DEF" w:rsidRPr="00180602" w:rsidRDefault="005F6DEF" w:rsidP="005F6DEF">
            <w:pPr>
              <w:autoSpaceDE w:val="0"/>
              <w:autoSpaceDN w:val="0"/>
              <w:adjustRightInd w:val="0"/>
              <w:rPr>
                <w:rFonts w:ascii="Arial Narrow" w:hAnsi="Arial Narrow"/>
                <w:sz w:val="22"/>
              </w:rPr>
            </w:pPr>
            <w:r w:rsidRPr="00180602">
              <w:rPr>
                <w:rFonts w:ascii="Arial Narrow" w:hAnsi="Arial Narrow"/>
                <w:sz w:val="22"/>
              </w:rPr>
              <w:t xml:space="preserve">Bei der Übertragung virusspezifischen Spender-T-Zellen  handelt es sich um eine vollständig neue Behandlungsmethode bei viralen Infektionen nach allogener Stammzelltransplantation, die vereinzelt in Studien ab 1996 eingesetzt wurde. </w:t>
            </w:r>
          </w:p>
          <w:p w14:paraId="1BBEA1AC" w14:textId="77777777" w:rsidR="005F6DEF" w:rsidRPr="00180602" w:rsidRDefault="005F6DEF" w:rsidP="005F6DEF">
            <w:pPr>
              <w:autoSpaceDE w:val="0"/>
              <w:autoSpaceDN w:val="0"/>
              <w:adjustRightInd w:val="0"/>
              <w:rPr>
                <w:rFonts w:ascii="Arial Narrow" w:hAnsi="Arial Narrow"/>
                <w:sz w:val="22"/>
              </w:rPr>
            </w:pPr>
            <w:r w:rsidRPr="00180602">
              <w:rPr>
                <w:rFonts w:ascii="Arial Narrow" w:hAnsi="Arial Narrow"/>
                <w:sz w:val="22"/>
              </w:rPr>
              <w:t xml:space="preserve">Zwar wurden Antigen-spezifische T-Zellen bereits in der Vergangenheit erfolgreich zur Bekämpfung viraler Infektionen nach allogener Stammzelltransplantation eingesetzt, das Hauptproblem bei der Therapie mit Antigen-spezifischen T-Zellen stellt aber deren Generierung dar. Bis zur Verfügbarkeit einer Separationsmöglichkeit war die Generierung von Antigen-spezifischen T-Zellen nur durch ein aufwändiges und mehrere Wochen bis Monate dauerndes in vitro Restimulationsverfahren möglich. In vielen Fällen war der Patient bereits verstorben, noch ehe </w:t>
            </w:r>
            <w:r w:rsidRPr="00180602">
              <w:rPr>
                <w:rFonts w:ascii="Arial Narrow" w:hAnsi="Arial Narrow"/>
                <w:sz w:val="22"/>
              </w:rPr>
              <w:lastRenderedPageBreak/>
              <w:t>das zelluläre Präparat fertig hergestellt war. Daher kam eine Anwendung von Antigen-spezifischen T-Zellen vor Etablierung einer entsprechenden Separationstechnik (ab 2004 Ramser et al Blood 2004) als Standardanwendung nicht in Frage.</w:t>
            </w:r>
          </w:p>
          <w:p w14:paraId="7B4D05CB" w14:textId="77777777" w:rsidR="005F6DEF" w:rsidRPr="00180602" w:rsidRDefault="005F6DEF" w:rsidP="005F6DEF">
            <w:pPr>
              <w:rPr>
                <w:rFonts w:ascii="Arial Narrow" w:hAnsi="Arial Narrow"/>
                <w:sz w:val="22"/>
              </w:rPr>
            </w:pPr>
          </w:p>
          <w:p w14:paraId="54E4336E" w14:textId="40828B12" w:rsidR="005F6DEF" w:rsidRPr="00180602" w:rsidRDefault="005F6DEF" w:rsidP="005F6DEF">
            <w:pPr>
              <w:rPr>
                <w:rFonts w:ascii="Arial Narrow" w:hAnsi="Arial Narrow"/>
                <w:sz w:val="22"/>
              </w:rPr>
            </w:pPr>
            <w:r w:rsidRPr="00180602">
              <w:rPr>
                <w:rFonts w:ascii="Arial Narrow" w:hAnsi="Arial Narrow"/>
                <w:sz w:val="22"/>
              </w:rPr>
              <w:t>Seither haben sich 2 sehr ähnliche Sep</w:t>
            </w:r>
            <w:r w:rsidR="00817A75">
              <w:rPr>
                <w:rFonts w:ascii="Arial Narrow" w:hAnsi="Arial Narrow"/>
                <w:sz w:val="22"/>
              </w:rPr>
              <w:t>a</w:t>
            </w:r>
            <w:r w:rsidRPr="00180602">
              <w:rPr>
                <w:rFonts w:ascii="Arial Narrow" w:hAnsi="Arial Narrow"/>
                <w:sz w:val="22"/>
              </w:rPr>
              <w:t>rationstechniken (Streptamer oder mittels Cytokin-</w:t>
            </w:r>
            <w:r w:rsidR="00817A75" w:rsidRPr="00180602">
              <w:rPr>
                <w:rFonts w:ascii="Arial Narrow" w:hAnsi="Arial Narrow"/>
                <w:sz w:val="22"/>
              </w:rPr>
              <w:t>Capture</w:t>
            </w:r>
            <w:r w:rsidR="00817A75">
              <w:rPr>
                <w:rFonts w:ascii="Arial Narrow" w:hAnsi="Arial Narrow"/>
                <w:sz w:val="22"/>
              </w:rPr>
              <w:t>-</w:t>
            </w:r>
            <w:r w:rsidRPr="00180602">
              <w:rPr>
                <w:rFonts w:ascii="Arial Narrow" w:hAnsi="Arial Narrow"/>
                <w:sz w:val="22"/>
              </w:rPr>
              <w:t xml:space="preserve">Assay) entwickelt, die bisher bei der klinischen Wirksamkeit keine entscheidende Unterschiede aufweisen und beide eingesetzt werden. </w:t>
            </w:r>
          </w:p>
          <w:p w14:paraId="5195F85F" w14:textId="77777777" w:rsidR="005F6DEF" w:rsidRDefault="005F6DEF" w:rsidP="005F6DEF"/>
          <w:p w14:paraId="0166468F" w14:textId="77777777" w:rsidR="005F6DEF" w:rsidRPr="00180602" w:rsidRDefault="005F6DEF" w:rsidP="00180602">
            <w:pPr>
              <w:autoSpaceDE w:val="0"/>
              <w:autoSpaceDN w:val="0"/>
              <w:adjustRightInd w:val="0"/>
              <w:rPr>
                <w:rFonts w:ascii="Arial Narrow" w:hAnsi="Arial Narrow"/>
                <w:sz w:val="22"/>
              </w:rPr>
            </w:pPr>
            <w:r w:rsidRPr="00180602">
              <w:rPr>
                <w:rFonts w:ascii="Arial Narrow" w:hAnsi="Arial Narrow"/>
                <w:sz w:val="22"/>
              </w:rPr>
              <w:t>In den Informationen nach §6 Abs. 2 KHEntgG für 2017 hat die Übertragung von virusspezifischen Spender-Immunzellen nach allogener Stammzelltransplantation den Status 1 (Position 80 der NUB-Liste 2017)</w:t>
            </w:r>
          </w:p>
          <w:p w14:paraId="4BAD7A98" w14:textId="77777777" w:rsidR="008E6675" w:rsidRPr="005638EB" w:rsidRDefault="00F91167" w:rsidP="00E92C57">
            <w:pPr>
              <w:rPr>
                <w:rFonts w:ascii="Arial Narrow" w:hAnsi="Arial Narrow"/>
              </w:rPr>
            </w:pPr>
            <w:r>
              <w:rPr>
                <w:rFonts w:ascii="Arial Narrow" w:hAnsi="Arial Narrow"/>
                <w:sz w:val="22"/>
                <w:szCs w:val="22"/>
              </w:rPr>
              <w:t xml:space="preserve">. </w:t>
            </w:r>
          </w:p>
        </w:tc>
      </w:tr>
    </w:tbl>
    <w:p w14:paraId="46D9B0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F46AA60" w14:textId="77777777">
        <w:tc>
          <w:tcPr>
            <w:tcW w:w="9212" w:type="dxa"/>
          </w:tcPr>
          <w:p w14:paraId="284DE493" w14:textId="77777777" w:rsidR="008E6675" w:rsidRPr="005638EB" w:rsidRDefault="008E6675" w:rsidP="005638EB">
            <w:pPr>
              <w:rPr>
                <w:rFonts w:ascii="Arial Narrow" w:hAnsi="Arial Narrow"/>
                <w:b/>
              </w:rPr>
            </w:pPr>
            <w:r w:rsidRPr="005638EB">
              <w:rPr>
                <w:rFonts w:ascii="Arial Narrow" w:hAnsi="Arial Narrow"/>
                <w:b/>
                <w:sz w:val="22"/>
              </w:rPr>
              <w:t>2.4 Welche Auswirkungen hat die Methode auf die Verweildauer im Krankenhaus?</w:t>
            </w:r>
          </w:p>
        </w:tc>
      </w:tr>
      <w:tr w:rsidR="008E6675" w:rsidRPr="005638EB" w14:paraId="4187A668" w14:textId="77777777">
        <w:trPr>
          <w:trHeight w:val="264"/>
        </w:trPr>
        <w:tc>
          <w:tcPr>
            <w:tcW w:w="9212" w:type="dxa"/>
          </w:tcPr>
          <w:p w14:paraId="65030FF2" w14:textId="77777777"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0C07C86A"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B2361F9" w14:textId="77777777">
        <w:tc>
          <w:tcPr>
            <w:tcW w:w="9212" w:type="dxa"/>
          </w:tcPr>
          <w:p w14:paraId="21A03BD0" w14:textId="77777777" w:rsidR="008E6675" w:rsidRPr="005638EB" w:rsidRDefault="008E6675" w:rsidP="005638EB">
            <w:pPr>
              <w:rPr>
                <w:rFonts w:ascii="Arial Narrow" w:hAnsi="Arial Narrow"/>
                <w:b/>
              </w:rPr>
            </w:pPr>
            <w:r w:rsidRPr="005638EB">
              <w:rPr>
                <w:rFonts w:ascii="Arial Narrow" w:hAnsi="Arial Narrow"/>
                <w:b/>
                <w:sz w:val="22"/>
              </w:rPr>
              <w:t>3.1 Wann wurde diese Methode in Deutschland eingeführt?</w:t>
            </w:r>
          </w:p>
        </w:tc>
      </w:tr>
      <w:tr w:rsidR="008E6675" w:rsidRPr="007F255B" w14:paraId="35CA3BA5" w14:textId="77777777">
        <w:tc>
          <w:tcPr>
            <w:tcW w:w="9212" w:type="dxa"/>
          </w:tcPr>
          <w:p w14:paraId="377244E8" w14:textId="77777777" w:rsidR="008E6675" w:rsidRPr="007F255B" w:rsidRDefault="005F6DEF" w:rsidP="005638EB">
            <w:pPr>
              <w:rPr>
                <w:rFonts w:ascii="Arial Narrow" w:hAnsi="Arial Narrow"/>
                <w:sz w:val="22"/>
                <w:szCs w:val="22"/>
              </w:rPr>
            </w:pPr>
            <w:r>
              <w:rPr>
                <w:rFonts w:ascii="Arial Narrow" w:hAnsi="Arial Narrow"/>
                <w:color w:val="00B050"/>
                <w:sz w:val="22"/>
                <w:szCs w:val="22"/>
              </w:rPr>
              <w:t>2015</w:t>
            </w:r>
          </w:p>
        </w:tc>
      </w:tr>
    </w:tbl>
    <w:p w14:paraId="2A5EE7BC"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9681160" w14:textId="77777777">
        <w:tc>
          <w:tcPr>
            <w:tcW w:w="9212" w:type="dxa"/>
          </w:tcPr>
          <w:p w14:paraId="15ECD305" w14:textId="77777777" w:rsidR="008E6675" w:rsidRPr="005638EB" w:rsidRDefault="008E6675" w:rsidP="005638EB">
            <w:pPr>
              <w:rPr>
                <w:rFonts w:ascii="Arial Narrow" w:hAnsi="Arial Narrow"/>
                <w:b/>
              </w:rPr>
            </w:pPr>
            <w:r w:rsidRPr="005638EB">
              <w:rPr>
                <w:rFonts w:ascii="Arial Narrow" w:hAnsi="Arial Narrow"/>
                <w:b/>
                <w:sz w:val="22"/>
              </w:rPr>
              <w:t>3.2 Bei Medikamenten: Wann wurde dieses Medikament zugelassen?</w:t>
            </w:r>
          </w:p>
        </w:tc>
      </w:tr>
      <w:tr w:rsidR="008E6675" w:rsidRPr="007F255B" w14:paraId="163457C6" w14:textId="77777777">
        <w:tc>
          <w:tcPr>
            <w:tcW w:w="9212" w:type="dxa"/>
          </w:tcPr>
          <w:p w14:paraId="686F704E" w14:textId="77777777" w:rsidR="008E6675" w:rsidRPr="007F255B" w:rsidRDefault="005F6DEF" w:rsidP="00A530BE">
            <w:pPr>
              <w:rPr>
                <w:rFonts w:ascii="Arial Narrow" w:hAnsi="Arial Narrow"/>
                <w:sz w:val="22"/>
                <w:szCs w:val="22"/>
              </w:rPr>
            </w:pPr>
            <w:r w:rsidRPr="00180602">
              <w:rPr>
                <w:rFonts w:ascii="Arial Narrow" w:hAnsi="Arial Narrow"/>
                <w:sz w:val="22"/>
              </w:rPr>
              <w:t>Die mittels des Streptamerverfahrens hergestellten allogen-gerichteten Antigen-spezifischen T­ Lymphozyten (Donorlymphozyten) sind als Blutzubereitung gern. § 4 Abs. 2 AMG einzustufen. Allogene Blutzubereitungen bedürfen in Deutschland keiner Zulassung oder Genehmigung für das Inverkehrbringen. Eine Zulassungspflicht oder Genehmigungspflicht zum Inverkehrbringen  nach §21a AMG entfällt daher für dieses Medikament. Dieses Medikament wird in Deutschland aufgrund einer Herstellungserlaubnis in Verkehr gebracht. Für das beantragte Medikament liegt die erforderliche Herstellungserlaubnis vor bzw. wird bei Herstellung im GMP-Labor einzelner Kliniken dort vorgelegt.</w:t>
            </w:r>
            <w:r>
              <w:t xml:space="preserve">  </w:t>
            </w:r>
          </w:p>
        </w:tc>
      </w:tr>
    </w:tbl>
    <w:p w14:paraId="71180EEF"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87C4693" w14:textId="77777777">
        <w:tc>
          <w:tcPr>
            <w:tcW w:w="9212" w:type="dxa"/>
          </w:tcPr>
          <w:p w14:paraId="4301D605" w14:textId="77777777" w:rsidR="008E6675" w:rsidRPr="005638EB" w:rsidRDefault="008E6675" w:rsidP="005638EB">
            <w:pPr>
              <w:rPr>
                <w:rFonts w:ascii="Arial Narrow" w:hAnsi="Arial Narrow"/>
                <w:b/>
              </w:rPr>
            </w:pPr>
            <w:r w:rsidRPr="005638EB">
              <w:rPr>
                <w:rFonts w:ascii="Arial Narrow" w:hAnsi="Arial Narrow"/>
                <w:b/>
                <w:sz w:val="22"/>
              </w:rPr>
              <w:t>3.3 Wann wurde die Methode in Ihrem Krankenhaus eingeführt?</w:t>
            </w:r>
          </w:p>
        </w:tc>
      </w:tr>
      <w:tr w:rsidR="008E6675" w:rsidRPr="005638EB" w14:paraId="73CE18B5" w14:textId="77777777">
        <w:tc>
          <w:tcPr>
            <w:tcW w:w="9212" w:type="dxa"/>
          </w:tcPr>
          <w:p w14:paraId="12AC3731"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4496C3A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9F4E4DE" w14:textId="77777777">
        <w:tc>
          <w:tcPr>
            <w:tcW w:w="9212" w:type="dxa"/>
          </w:tcPr>
          <w:p w14:paraId="66DCA6B9" w14:textId="77777777" w:rsidR="008E6675" w:rsidRPr="005638EB" w:rsidRDefault="008E6675" w:rsidP="005638EB">
            <w:pPr>
              <w:rPr>
                <w:rFonts w:ascii="Arial Narrow" w:hAnsi="Arial Narrow"/>
                <w:b/>
              </w:rPr>
            </w:pPr>
            <w:r w:rsidRPr="005638EB">
              <w:rPr>
                <w:rFonts w:ascii="Arial Narrow" w:hAnsi="Arial Narrow"/>
                <w:b/>
                <w:sz w:val="22"/>
              </w:rPr>
              <w:t>3.4 In wie vielen Kliniken wird diese Methode derzeit eingesetzt (Schätzung)?</w:t>
            </w:r>
          </w:p>
        </w:tc>
      </w:tr>
      <w:tr w:rsidR="008E6675" w:rsidRPr="005638EB" w14:paraId="3D3A33B8" w14:textId="77777777">
        <w:tc>
          <w:tcPr>
            <w:tcW w:w="9212" w:type="dxa"/>
          </w:tcPr>
          <w:p w14:paraId="02FCF471" w14:textId="6B1E144B" w:rsidR="008E6675" w:rsidRPr="005638EB" w:rsidRDefault="005F6DEF" w:rsidP="00817A75">
            <w:pPr>
              <w:rPr>
                <w:rFonts w:ascii="Arial Narrow" w:hAnsi="Arial Narrow"/>
              </w:rPr>
            </w:pPr>
            <w:r>
              <w:rPr>
                <w:rFonts w:ascii="Arial Narrow" w:hAnsi="Arial Narrow"/>
                <w:sz w:val="22"/>
              </w:rPr>
              <w:t>Virusspezifische Spenderzellen</w:t>
            </w:r>
            <w:r w:rsidR="008E6675">
              <w:rPr>
                <w:rFonts w:ascii="Arial Narrow" w:hAnsi="Arial Narrow"/>
                <w:sz w:val="22"/>
              </w:rPr>
              <w:t xml:space="preserve"> </w:t>
            </w:r>
            <w:r w:rsidR="00817A75" w:rsidRPr="00F000AA">
              <w:rPr>
                <w:rFonts w:ascii="Arial Narrow" w:hAnsi="Arial Narrow"/>
                <w:sz w:val="22"/>
              </w:rPr>
              <w:t>w</w:t>
            </w:r>
            <w:r w:rsidR="00817A75">
              <w:rPr>
                <w:rFonts w:ascii="Arial Narrow" w:hAnsi="Arial Narrow"/>
                <w:sz w:val="22"/>
              </w:rPr>
              <w:t>erden</w:t>
            </w:r>
            <w:r w:rsidR="00817A75" w:rsidRPr="00F000AA">
              <w:rPr>
                <w:rFonts w:ascii="Arial Narrow" w:hAnsi="Arial Narrow"/>
                <w:sz w:val="22"/>
              </w:rPr>
              <w:t xml:space="preserve"> </w:t>
            </w:r>
            <w:r w:rsidR="008E6675" w:rsidRPr="00F000AA">
              <w:rPr>
                <w:rFonts w:ascii="Arial Narrow" w:hAnsi="Arial Narrow"/>
                <w:sz w:val="22"/>
              </w:rPr>
              <w:t xml:space="preserve">schätzungsweise in ca. </w:t>
            </w:r>
            <w:r>
              <w:rPr>
                <w:rFonts w:ascii="Arial Narrow" w:hAnsi="Arial Narrow"/>
                <w:sz w:val="22"/>
              </w:rPr>
              <w:t>30</w:t>
            </w:r>
            <w:r w:rsidR="008E6675" w:rsidRPr="00F000AA">
              <w:rPr>
                <w:rFonts w:ascii="Arial Narrow" w:hAnsi="Arial Narrow"/>
                <w:sz w:val="22"/>
              </w:rPr>
              <w:t xml:space="preserve"> Kliniken in Deutschland eingesetzt (Schätzung</w:t>
            </w:r>
            <w:r w:rsidR="00A100DC">
              <w:rPr>
                <w:rFonts w:ascii="Arial Narrow" w:hAnsi="Arial Narrow"/>
                <w:sz w:val="22"/>
              </w:rPr>
              <w:t xml:space="preserve">en aufgrund </w:t>
            </w:r>
            <w:r>
              <w:rPr>
                <w:rFonts w:ascii="Arial Narrow" w:hAnsi="Arial Narrow"/>
                <w:sz w:val="22"/>
              </w:rPr>
              <w:t>der Zahl der Kliniken mit allogener Stammzelltransplantation</w:t>
            </w:r>
            <w:r w:rsidR="008E6675" w:rsidRPr="00F000AA">
              <w:rPr>
                <w:rFonts w:ascii="Arial Narrow" w:hAnsi="Arial Narrow"/>
                <w:sz w:val="22"/>
              </w:rPr>
              <w:t>).</w:t>
            </w:r>
          </w:p>
        </w:tc>
      </w:tr>
    </w:tbl>
    <w:p w14:paraId="7CDEFB2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C4EE9B7" w14:textId="77777777">
        <w:tc>
          <w:tcPr>
            <w:tcW w:w="9212" w:type="dxa"/>
          </w:tcPr>
          <w:p w14:paraId="1156DC52" w14:textId="77777777" w:rsidR="008E6675" w:rsidRPr="005638EB" w:rsidRDefault="008E6675" w:rsidP="00983554">
            <w:pPr>
              <w:rPr>
                <w:rFonts w:ascii="Arial Narrow" w:hAnsi="Arial Narrow"/>
              </w:rPr>
            </w:pPr>
            <w:r w:rsidRPr="008C1686">
              <w:rPr>
                <w:rFonts w:ascii="Arial Narrow" w:hAnsi="Arial Narrow"/>
                <w:b/>
                <w:sz w:val="22"/>
              </w:rPr>
              <w:t>3.5 Wie viele Patienten wur</w:t>
            </w:r>
            <w:r w:rsidR="00A530BE">
              <w:rPr>
                <w:rFonts w:ascii="Arial Narrow" w:hAnsi="Arial Narrow"/>
                <w:b/>
                <w:sz w:val="22"/>
              </w:rPr>
              <w:t>den in Ihrem Krankenhaus in 201</w:t>
            </w:r>
            <w:r w:rsidR="00983554">
              <w:rPr>
                <w:rFonts w:ascii="Arial Narrow" w:hAnsi="Arial Narrow"/>
                <w:b/>
                <w:sz w:val="22"/>
              </w:rPr>
              <w:t>6</w:t>
            </w:r>
            <w:r w:rsidR="00A530BE">
              <w:rPr>
                <w:rFonts w:ascii="Arial Narrow" w:hAnsi="Arial Narrow"/>
                <w:b/>
                <w:sz w:val="22"/>
              </w:rPr>
              <w:t xml:space="preserve"> oder in 201</w:t>
            </w:r>
            <w:r w:rsidR="00983554">
              <w:rPr>
                <w:rFonts w:ascii="Arial Narrow" w:hAnsi="Arial Narrow"/>
                <w:b/>
                <w:sz w:val="22"/>
              </w:rPr>
              <w:t>7</w:t>
            </w:r>
            <w:r w:rsidRPr="008C1686">
              <w:rPr>
                <w:rFonts w:ascii="Arial Narrow" w:hAnsi="Arial Narrow"/>
                <w:b/>
                <w:sz w:val="22"/>
              </w:rPr>
              <w:t xml:space="preserve"> mit dieser Methode behandelt?</w:t>
            </w:r>
          </w:p>
        </w:tc>
      </w:tr>
      <w:tr w:rsidR="008E6675" w:rsidRPr="005638EB" w14:paraId="7563629B" w14:textId="77777777">
        <w:tc>
          <w:tcPr>
            <w:tcW w:w="9212" w:type="dxa"/>
          </w:tcPr>
          <w:p w14:paraId="0A68E69A" w14:textId="77777777" w:rsidR="008E6675" w:rsidRPr="005638EB" w:rsidRDefault="008E6675" w:rsidP="0028432D">
            <w:pPr>
              <w:rPr>
                <w:rFonts w:ascii="Arial Narrow" w:hAnsi="Arial Narrow"/>
              </w:rPr>
            </w:pPr>
            <w:r w:rsidRPr="005638EB">
              <w:rPr>
                <w:rFonts w:ascii="Arial Narrow" w:hAnsi="Arial Narrow"/>
              </w:rPr>
              <w:t xml:space="preserve">In </w:t>
            </w:r>
            <w:r w:rsidR="00CD2365">
              <w:rPr>
                <w:rFonts w:ascii="Arial Narrow" w:hAnsi="Arial Narrow"/>
              </w:rPr>
              <w:t>201</w:t>
            </w:r>
            <w:r w:rsidR="00983554">
              <w:rPr>
                <w:rFonts w:ascii="Arial Narrow" w:hAnsi="Arial Narrow"/>
              </w:rPr>
              <w:t>6</w:t>
            </w:r>
          </w:p>
        </w:tc>
      </w:tr>
      <w:tr w:rsidR="00983554" w:rsidRPr="005638EB" w14:paraId="7EE02793" w14:textId="77777777">
        <w:tc>
          <w:tcPr>
            <w:tcW w:w="9212" w:type="dxa"/>
          </w:tcPr>
          <w:p w14:paraId="00CACB26" w14:textId="7483E97E" w:rsidR="00983554" w:rsidRPr="005638EB" w:rsidRDefault="00345A44" w:rsidP="004D084F">
            <w:pPr>
              <w:rPr>
                <w:rFonts w:ascii="Arial Narrow" w:hAnsi="Arial Narrow"/>
              </w:rPr>
            </w:pPr>
            <w:r w:rsidRPr="00983554">
              <w:rPr>
                <w:rFonts w:ascii="Arial Narrow" w:hAnsi="Arial Narrow"/>
                <w:sz w:val="22"/>
                <w:highlight w:val="yellow"/>
              </w:rPr>
              <w:t>[bitte ergänzen]</w:t>
            </w:r>
          </w:p>
        </w:tc>
      </w:tr>
      <w:tr w:rsidR="008E6675" w:rsidRPr="005638EB" w14:paraId="5C6C7022" w14:textId="77777777">
        <w:tc>
          <w:tcPr>
            <w:tcW w:w="9212" w:type="dxa"/>
          </w:tcPr>
          <w:p w14:paraId="785B2A23" w14:textId="77777777" w:rsidR="008E6675" w:rsidRPr="005638EB" w:rsidRDefault="008E6675" w:rsidP="0028432D">
            <w:pPr>
              <w:rPr>
                <w:rFonts w:ascii="Arial Narrow" w:hAnsi="Arial Narrow"/>
              </w:rPr>
            </w:pPr>
            <w:r w:rsidRPr="005638EB">
              <w:rPr>
                <w:rFonts w:ascii="Arial Narrow" w:hAnsi="Arial Narrow"/>
              </w:rPr>
              <w:t xml:space="preserve">In </w:t>
            </w:r>
            <w:r>
              <w:rPr>
                <w:rFonts w:ascii="Arial Narrow" w:hAnsi="Arial Narrow"/>
              </w:rPr>
              <w:t>201</w:t>
            </w:r>
            <w:r w:rsidR="00983554">
              <w:rPr>
                <w:rFonts w:ascii="Arial Narrow" w:hAnsi="Arial Narrow"/>
              </w:rPr>
              <w:t>7</w:t>
            </w:r>
          </w:p>
        </w:tc>
      </w:tr>
      <w:tr w:rsidR="00983554" w:rsidRPr="005638EB" w14:paraId="4AEE7CBF" w14:textId="77777777">
        <w:tc>
          <w:tcPr>
            <w:tcW w:w="9212" w:type="dxa"/>
          </w:tcPr>
          <w:p w14:paraId="4716A616" w14:textId="03A17080" w:rsidR="00983554" w:rsidRPr="005638EB" w:rsidRDefault="00345A44" w:rsidP="004D084F">
            <w:pPr>
              <w:rPr>
                <w:rFonts w:ascii="Arial Narrow" w:hAnsi="Arial Narrow"/>
              </w:rPr>
            </w:pPr>
            <w:r w:rsidRPr="00983554">
              <w:rPr>
                <w:rFonts w:ascii="Arial Narrow" w:hAnsi="Arial Narrow"/>
                <w:sz w:val="22"/>
                <w:highlight w:val="yellow"/>
              </w:rPr>
              <w:t>[bitte ergänzen]</w:t>
            </w:r>
          </w:p>
        </w:tc>
      </w:tr>
    </w:tbl>
    <w:p w14:paraId="3A3494A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45C2EE4" w14:textId="77777777">
        <w:tc>
          <w:tcPr>
            <w:tcW w:w="9212" w:type="dxa"/>
          </w:tcPr>
          <w:p w14:paraId="0E37F91B" w14:textId="77777777" w:rsidR="008E6675" w:rsidRPr="005638EB" w:rsidRDefault="008E6675" w:rsidP="00DC6CBD">
            <w:pPr>
              <w:rPr>
                <w:rFonts w:ascii="Arial Narrow" w:hAnsi="Arial Narrow"/>
              </w:rPr>
            </w:pPr>
            <w:r w:rsidRPr="008C1686">
              <w:rPr>
                <w:rFonts w:ascii="Arial Narrow" w:hAnsi="Arial Narrow"/>
                <w:b/>
                <w:sz w:val="22"/>
              </w:rPr>
              <w:t>3.6 Wieviele P</w:t>
            </w:r>
            <w:r w:rsidR="00A530BE">
              <w:rPr>
                <w:rFonts w:ascii="Arial Narrow" w:hAnsi="Arial Narrow"/>
                <w:b/>
                <w:sz w:val="22"/>
              </w:rPr>
              <w:t>atienten planen Sie im Jahr 201</w:t>
            </w:r>
            <w:r w:rsidR="00983554">
              <w:rPr>
                <w:rFonts w:ascii="Arial Narrow" w:hAnsi="Arial Narrow"/>
                <w:b/>
                <w:sz w:val="22"/>
              </w:rPr>
              <w:t>8</w:t>
            </w:r>
            <w:r w:rsidRPr="008C1686">
              <w:rPr>
                <w:rFonts w:ascii="Arial Narrow" w:hAnsi="Arial Narrow"/>
                <w:b/>
                <w:sz w:val="22"/>
              </w:rPr>
              <w:t xml:space="preserve"> mit dieser Methode zu behandeln?</w:t>
            </w:r>
          </w:p>
        </w:tc>
      </w:tr>
      <w:tr w:rsidR="00983554" w:rsidRPr="005638EB" w14:paraId="507CB710" w14:textId="77777777">
        <w:tc>
          <w:tcPr>
            <w:tcW w:w="9212" w:type="dxa"/>
          </w:tcPr>
          <w:p w14:paraId="2F7FAF81" w14:textId="77777777" w:rsidR="00983554" w:rsidRPr="005638EB" w:rsidRDefault="00983554" w:rsidP="004D084F">
            <w:pPr>
              <w:rPr>
                <w:rFonts w:ascii="Arial Narrow" w:hAnsi="Arial Narrow"/>
              </w:rPr>
            </w:pPr>
            <w:r w:rsidRPr="00983554">
              <w:rPr>
                <w:rFonts w:ascii="Arial Narrow" w:hAnsi="Arial Narrow"/>
                <w:sz w:val="22"/>
                <w:highlight w:val="yellow"/>
              </w:rPr>
              <w:t>[bitte ergänzen]</w:t>
            </w:r>
          </w:p>
        </w:tc>
      </w:tr>
    </w:tbl>
    <w:p w14:paraId="5B87BA6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2F92753" w14:textId="77777777">
        <w:tc>
          <w:tcPr>
            <w:tcW w:w="9212" w:type="dxa"/>
          </w:tcPr>
          <w:p w14:paraId="0107CABB" w14:textId="77777777" w:rsidR="008E6675" w:rsidRPr="005638EB" w:rsidRDefault="008E6675" w:rsidP="005638EB">
            <w:pPr>
              <w:rPr>
                <w:rFonts w:ascii="Arial Narrow" w:hAnsi="Arial Narrow"/>
              </w:rPr>
            </w:pPr>
            <w:r w:rsidRPr="008C1686">
              <w:rPr>
                <w:rFonts w:ascii="Arial Narrow" w:hAnsi="Arial Narrow"/>
                <w:b/>
                <w:sz w:val="22"/>
              </w:rPr>
              <w:lastRenderedPageBreak/>
              <w:t>4.1 Entstehen durch die neue Methode Mehrkosten gegenüber dem bisher üblichen Verfahren? Wenn ja, wodurch? In welcher Höhe (möglichst aufgetrennt nach Personal- und Sachkosten)?</w:t>
            </w:r>
          </w:p>
        </w:tc>
      </w:tr>
      <w:tr w:rsidR="008E6675" w:rsidRPr="005638EB" w14:paraId="2EE5A381" w14:textId="77777777">
        <w:tc>
          <w:tcPr>
            <w:tcW w:w="9212" w:type="dxa"/>
          </w:tcPr>
          <w:tbl>
            <w:tblPr>
              <w:tblW w:w="7800" w:type="dxa"/>
              <w:tblLayout w:type="fixed"/>
              <w:tblCellMar>
                <w:left w:w="70" w:type="dxa"/>
                <w:right w:w="70" w:type="dxa"/>
              </w:tblCellMar>
              <w:tblLook w:val="04A0" w:firstRow="1" w:lastRow="0" w:firstColumn="1" w:lastColumn="0" w:noHBand="0" w:noVBand="1"/>
            </w:tblPr>
            <w:tblGrid>
              <w:gridCol w:w="3760"/>
              <w:gridCol w:w="1340"/>
              <w:gridCol w:w="1320"/>
              <w:gridCol w:w="1380"/>
            </w:tblGrid>
            <w:tr w:rsidR="005F6DEF" w14:paraId="1E77C060" w14:textId="77777777" w:rsidTr="00367F87">
              <w:trPr>
                <w:trHeight w:val="600"/>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66841"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2660" w:type="dxa"/>
                  <w:gridSpan w:val="2"/>
                  <w:tcBorders>
                    <w:top w:val="single" w:sz="4" w:space="0" w:color="auto"/>
                    <w:left w:val="nil"/>
                    <w:bottom w:val="single" w:sz="4" w:space="0" w:color="auto"/>
                    <w:right w:val="single" w:sz="4" w:space="0" w:color="auto"/>
                  </w:tcBorders>
                  <w:shd w:val="clear" w:color="auto" w:fill="auto"/>
                  <w:vAlign w:val="bottom"/>
                  <w:hideMark/>
                </w:tcPr>
                <w:p w14:paraId="32BA676F" w14:textId="77777777" w:rsidR="005F6DEF" w:rsidRDefault="005F6DEF" w:rsidP="00367F87">
                  <w:pPr>
                    <w:jc w:val="center"/>
                    <w:rPr>
                      <w:rFonts w:ascii="Calibri" w:hAnsi="Calibri"/>
                      <w:b/>
                      <w:bCs/>
                      <w:color w:val="000000"/>
                      <w:sz w:val="22"/>
                      <w:szCs w:val="22"/>
                    </w:rPr>
                  </w:pPr>
                  <w:r>
                    <w:rPr>
                      <w:rFonts w:ascii="Calibri" w:hAnsi="Calibri"/>
                      <w:b/>
                      <w:bCs/>
                      <w:color w:val="000000"/>
                      <w:sz w:val="22"/>
                      <w:szCs w:val="22"/>
                    </w:rPr>
                    <w:t>StreptamerVerfahren</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341ED901" w14:textId="77777777" w:rsidR="005F6DEF" w:rsidRDefault="005F6DEF" w:rsidP="00367F87">
                  <w:pPr>
                    <w:rPr>
                      <w:rFonts w:ascii="Calibri" w:hAnsi="Calibri"/>
                      <w:color w:val="000000"/>
                      <w:sz w:val="22"/>
                      <w:szCs w:val="22"/>
                    </w:rPr>
                  </w:pPr>
                  <w:r>
                    <w:rPr>
                      <w:rFonts w:ascii="Calibri" w:hAnsi="Calibri"/>
                      <w:color w:val="000000"/>
                      <w:sz w:val="22"/>
                      <w:szCs w:val="22"/>
                    </w:rPr>
                    <w:t>Cytokin-CaptureAssay</w:t>
                  </w:r>
                </w:p>
              </w:tc>
            </w:tr>
            <w:tr w:rsidR="005F6DEF" w14:paraId="7F70480B" w14:textId="77777777" w:rsidTr="00367F87">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31BE183"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vAlign w:val="bottom"/>
                  <w:hideMark/>
                </w:tcPr>
                <w:p w14:paraId="0FA7591A" w14:textId="77777777" w:rsidR="005F6DEF" w:rsidRDefault="005F6DEF" w:rsidP="00367F87">
                  <w:pPr>
                    <w:rPr>
                      <w:rFonts w:ascii="Calibri" w:hAnsi="Calibri"/>
                      <w:color w:val="000000"/>
                      <w:sz w:val="22"/>
                      <w:szCs w:val="22"/>
                    </w:rPr>
                  </w:pPr>
                  <w:r>
                    <w:rPr>
                      <w:rFonts w:ascii="Calibri" w:hAnsi="Calibri"/>
                      <w:color w:val="000000"/>
                      <w:sz w:val="22"/>
                      <w:szCs w:val="22"/>
                    </w:rPr>
                    <w:t>GMP-Labor Kliniken</w:t>
                  </w:r>
                </w:p>
              </w:tc>
              <w:tc>
                <w:tcPr>
                  <w:tcW w:w="1320" w:type="dxa"/>
                  <w:tcBorders>
                    <w:top w:val="nil"/>
                    <w:left w:val="nil"/>
                    <w:bottom w:val="single" w:sz="4" w:space="0" w:color="auto"/>
                    <w:right w:val="single" w:sz="4" w:space="0" w:color="auto"/>
                  </w:tcBorders>
                  <w:shd w:val="clear" w:color="auto" w:fill="auto"/>
                  <w:vAlign w:val="bottom"/>
                  <w:hideMark/>
                </w:tcPr>
                <w:p w14:paraId="2211ED53" w14:textId="77777777" w:rsidR="005F6DEF" w:rsidRDefault="005F6DEF" w:rsidP="00367F87">
                  <w:pPr>
                    <w:rPr>
                      <w:rFonts w:ascii="Calibri" w:hAnsi="Calibri"/>
                      <w:color w:val="000000"/>
                      <w:sz w:val="22"/>
                      <w:szCs w:val="22"/>
                    </w:rPr>
                  </w:pPr>
                  <w:r>
                    <w:rPr>
                      <w:rFonts w:ascii="Calibri" w:hAnsi="Calibri"/>
                      <w:color w:val="000000"/>
                      <w:sz w:val="22"/>
                      <w:szCs w:val="22"/>
                    </w:rPr>
                    <w:t>Cytovir CMV®</w:t>
                  </w:r>
                </w:p>
              </w:tc>
              <w:tc>
                <w:tcPr>
                  <w:tcW w:w="1380" w:type="dxa"/>
                  <w:tcBorders>
                    <w:top w:val="nil"/>
                    <w:left w:val="nil"/>
                    <w:bottom w:val="single" w:sz="4" w:space="0" w:color="auto"/>
                    <w:right w:val="single" w:sz="4" w:space="0" w:color="auto"/>
                  </w:tcBorders>
                  <w:shd w:val="clear" w:color="auto" w:fill="auto"/>
                  <w:vAlign w:val="bottom"/>
                  <w:hideMark/>
                </w:tcPr>
                <w:p w14:paraId="24CA4971" w14:textId="77777777" w:rsidR="005F6DEF" w:rsidRDefault="005F6DEF" w:rsidP="00367F87">
                  <w:pPr>
                    <w:rPr>
                      <w:rFonts w:ascii="Calibri" w:hAnsi="Calibri"/>
                      <w:color w:val="000000"/>
                      <w:sz w:val="22"/>
                      <w:szCs w:val="22"/>
                    </w:rPr>
                  </w:pPr>
                  <w:r>
                    <w:rPr>
                      <w:rFonts w:ascii="Calibri" w:hAnsi="Calibri"/>
                      <w:color w:val="000000"/>
                      <w:sz w:val="22"/>
                      <w:szCs w:val="22"/>
                    </w:rPr>
                    <w:t>GMP-Labor Kliniken</w:t>
                  </w:r>
                </w:p>
              </w:tc>
            </w:tr>
            <w:tr w:rsidR="005F6DEF" w14:paraId="17571E75" w14:textId="77777777" w:rsidTr="00367F87">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1188BF97" w14:textId="77777777" w:rsidR="005F6DEF" w:rsidRDefault="005F6DEF" w:rsidP="00367F87">
                  <w:pPr>
                    <w:rPr>
                      <w:rFonts w:ascii="Calibri" w:hAnsi="Calibri"/>
                      <w:color w:val="000000"/>
                      <w:sz w:val="22"/>
                      <w:szCs w:val="22"/>
                    </w:rPr>
                  </w:pPr>
                  <w:r>
                    <w:rPr>
                      <w:rFonts w:ascii="Calibri" w:hAnsi="Calibri"/>
                      <w:color w:val="000000"/>
                      <w:sz w:val="22"/>
                      <w:szCs w:val="22"/>
                    </w:rPr>
                    <w:t>Spendervoruntersuchung / Auswahl</w:t>
                  </w:r>
                </w:p>
              </w:tc>
              <w:tc>
                <w:tcPr>
                  <w:tcW w:w="1340" w:type="dxa"/>
                  <w:tcBorders>
                    <w:top w:val="nil"/>
                    <w:left w:val="nil"/>
                    <w:bottom w:val="single" w:sz="4" w:space="0" w:color="auto"/>
                    <w:right w:val="single" w:sz="4" w:space="0" w:color="auto"/>
                  </w:tcBorders>
                  <w:shd w:val="clear" w:color="auto" w:fill="auto"/>
                  <w:noWrap/>
                  <w:vAlign w:val="bottom"/>
                  <w:hideMark/>
                </w:tcPr>
                <w:p w14:paraId="462AC56B" w14:textId="4C0D29AE" w:rsidR="005F6DEF" w:rsidRDefault="005F6DEF" w:rsidP="004908FF">
                  <w:pPr>
                    <w:jc w:val="right"/>
                    <w:rPr>
                      <w:rFonts w:ascii="Calibri" w:hAnsi="Calibri"/>
                      <w:color w:val="000000"/>
                      <w:sz w:val="22"/>
                      <w:szCs w:val="22"/>
                    </w:rPr>
                  </w:pPr>
                  <w:r>
                    <w:rPr>
                      <w:rFonts w:ascii="Calibri" w:hAnsi="Calibri"/>
                      <w:color w:val="000000"/>
                      <w:sz w:val="22"/>
                      <w:szCs w:val="22"/>
                    </w:rPr>
                    <w:t>1.</w:t>
                  </w:r>
                  <w:r w:rsidR="004908FF">
                    <w:rPr>
                      <w:rFonts w:ascii="Calibri" w:hAnsi="Calibri"/>
                      <w:color w:val="000000"/>
                      <w:sz w:val="22"/>
                      <w:szCs w:val="22"/>
                    </w:rPr>
                    <w:t>500</w:t>
                  </w:r>
                  <w:r>
                    <w:rPr>
                      <w:rFonts w:ascii="Calibri" w:hAnsi="Calibri"/>
                      <w:color w:val="000000"/>
                      <w:sz w:val="22"/>
                      <w:szCs w:val="22"/>
                    </w:rPr>
                    <w:t>,00 €</w:t>
                  </w:r>
                </w:p>
              </w:tc>
              <w:tc>
                <w:tcPr>
                  <w:tcW w:w="1320" w:type="dxa"/>
                  <w:tcBorders>
                    <w:top w:val="nil"/>
                    <w:left w:val="nil"/>
                    <w:bottom w:val="single" w:sz="4" w:space="0" w:color="auto"/>
                    <w:right w:val="single" w:sz="4" w:space="0" w:color="auto"/>
                  </w:tcBorders>
                  <w:shd w:val="clear" w:color="auto" w:fill="auto"/>
                  <w:noWrap/>
                  <w:vAlign w:val="bottom"/>
                  <w:hideMark/>
                </w:tcPr>
                <w:p w14:paraId="71E4713C"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63D9030E" w14:textId="3004CBC2" w:rsidR="005F6DEF" w:rsidRDefault="005F6DEF" w:rsidP="004908FF">
                  <w:pPr>
                    <w:jc w:val="right"/>
                    <w:rPr>
                      <w:rFonts w:ascii="Calibri" w:hAnsi="Calibri"/>
                      <w:color w:val="000000"/>
                      <w:sz w:val="22"/>
                      <w:szCs w:val="22"/>
                    </w:rPr>
                  </w:pPr>
                  <w:r>
                    <w:rPr>
                      <w:rFonts w:ascii="Calibri" w:hAnsi="Calibri"/>
                      <w:color w:val="000000"/>
                      <w:sz w:val="22"/>
                      <w:szCs w:val="22"/>
                    </w:rPr>
                    <w:t>1.</w:t>
                  </w:r>
                  <w:r w:rsidR="004908FF">
                    <w:rPr>
                      <w:rFonts w:ascii="Calibri" w:hAnsi="Calibri"/>
                      <w:color w:val="000000"/>
                      <w:sz w:val="22"/>
                      <w:szCs w:val="22"/>
                    </w:rPr>
                    <w:t>500</w:t>
                  </w:r>
                  <w:r>
                    <w:rPr>
                      <w:rFonts w:ascii="Calibri" w:hAnsi="Calibri"/>
                      <w:color w:val="000000"/>
                      <w:sz w:val="22"/>
                      <w:szCs w:val="22"/>
                    </w:rPr>
                    <w:t>,00 €</w:t>
                  </w:r>
                </w:p>
              </w:tc>
            </w:tr>
            <w:tr w:rsidR="005F6DEF" w14:paraId="4DC98D85" w14:textId="77777777" w:rsidTr="00367F87">
              <w:trPr>
                <w:trHeight w:val="12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4383757" w14:textId="43099942" w:rsidR="005F6DEF" w:rsidRDefault="005F6DEF" w:rsidP="004908FF">
                  <w:pPr>
                    <w:rPr>
                      <w:rFonts w:ascii="Calibri" w:hAnsi="Calibri"/>
                      <w:color w:val="000000"/>
                      <w:sz w:val="22"/>
                      <w:szCs w:val="22"/>
                    </w:rPr>
                  </w:pPr>
                  <w:r>
                    <w:rPr>
                      <w:rFonts w:ascii="Calibri" w:hAnsi="Calibri"/>
                      <w:color w:val="000000"/>
                      <w:sz w:val="22"/>
                      <w:szCs w:val="22"/>
                    </w:rPr>
                    <w:t xml:space="preserve">Gewinnung von Spenderlymphozyten (extern) </w:t>
                  </w:r>
                  <w:r w:rsidR="00975C96">
                    <w:rPr>
                      <w:rFonts w:ascii="Calibri" w:hAnsi="Calibri"/>
                      <w:color w:val="000000"/>
                      <w:sz w:val="22"/>
                      <w:szCs w:val="22"/>
                    </w:rPr>
                    <w:t xml:space="preserve"> und Qualitätskontrollen</w:t>
                  </w:r>
                </w:p>
              </w:tc>
              <w:tc>
                <w:tcPr>
                  <w:tcW w:w="1340" w:type="dxa"/>
                  <w:tcBorders>
                    <w:top w:val="nil"/>
                    <w:left w:val="nil"/>
                    <w:bottom w:val="single" w:sz="4" w:space="0" w:color="auto"/>
                    <w:right w:val="single" w:sz="4" w:space="0" w:color="auto"/>
                  </w:tcBorders>
                  <w:shd w:val="clear" w:color="auto" w:fill="auto"/>
                  <w:noWrap/>
                  <w:vAlign w:val="bottom"/>
                  <w:hideMark/>
                </w:tcPr>
                <w:p w14:paraId="7BAFA6FF" w14:textId="62495343" w:rsidR="005F6DEF" w:rsidRDefault="004908FF" w:rsidP="00367F87">
                  <w:pPr>
                    <w:jc w:val="right"/>
                    <w:rPr>
                      <w:rFonts w:ascii="Calibri" w:hAnsi="Calibri"/>
                      <w:color w:val="000000"/>
                      <w:sz w:val="22"/>
                      <w:szCs w:val="22"/>
                    </w:rPr>
                  </w:pPr>
                  <w:r>
                    <w:rPr>
                      <w:rFonts w:ascii="Calibri" w:hAnsi="Calibri"/>
                      <w:color w:val="000000"/>
                      <w:sz w:val="22"/>
                      <w:szCs w:val="22"/>
                    </w:rPr>
                    <w:t>5000</w:t>
                  </w:r>
                  <w:r w:rsidR="005F6DEF">
                    <w:rPr>
                      <w:rFonts w:ascii="Calibri" w:hAnsi="Calibri"/>
                      <w:color w:val="000000"/>
                      <w:sz w:val="22"/>
                      <w:szCs w:val="22"/>
                    </w:rPr>
                    <w:t>,00 €</w:t>
                  </w:r>
                </w:p>
              </w:tc>
              <w:tc>
                <w:tcPr>
                  <w:tcW w:w="1320" w:type="dxa"/>
                  <w:tcBorders>
                    <w:top w:val="nil"/>
                    <w:left w:val="nil"/>
                    <w:bottom w:val="single" w:sz="4" w:space="0" w:color="auto"/>
                    <w:right w:val="single" w:sz="4" w:space="0" w:color="auto"/>
                  </w:tcBorders>
                  <w:shd w:val="clear" w:color="auto" w:fill="auto"/>
                  <w:noWrap/>
                  <w:vAlign w:val="bottom"/>
                  <w:hideMark/>
                </w:tcPr>
                <w:p w14:paraId="1CA66CCA"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37A84771" w14:textId="320C2CD3" w:rsidR="005F6DEF" w:rsidRDefault="004908FF" w:rsidP="00367F87">
                  <w:pPr>
                    <w:jc w:val="right"/>
                    <w:rPr>
                      <w:rFonts w:ascii="Calibri" w:hAnsi="Calibri"/>
                      <w:color w:val="000000"/>
                      <w:sz w:val="22"/>
                      <w:szCs w:val="22"/>
                    </w:rPr>
                  </w:pPr>
                  <w:r>
                    <w:rPr>
                      <w:rFonts w:ascii="Calibri" w:hAnsi="Calibri"/>
                      <w:color w:val="000000"/>
                      <w:sz w:val="22"/>
                      <w:szCs w:val="22"/>
                    </w:rPr>
                    <w:t>5000</w:t>
                  </w:r>
                  <w:r w:rsidR="005F6DEF">
                    <w:rPr>
                      <w:rFonts w:ascii="Calibri" w:hAnsi="Calibri"/>
                      <w:color w:val="000000"/>
                      <w:sz w:val="22"/>
                      <w:szCs w:val="22"/>
                    </w:rPr>
                    <w:t>,00 €</w:t>
                  </w:r>
                </w:p>
              </w:tc>
            </w:tr>
            <w:tr w:rsidR="005F6DEF" w14:paraId="48991809" w14:textId="77777777" w:rsidTr="00367F87">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8470E7E" w14:textId="77777777" w:rsidR="005F6DEF" w:rsidRDefault="005F6DEF" w:rsidP="00367F87">
                  <w:pPr>
                    <w:rPr>
                      <w:rFonts w:ascii="Calibri" w:hAnsi="Calibri"/>
                      <w:color w:val="000000"/>
                      <w:sz w:val="22"/>
                      <w:szCs w:val="22"/>
                    </w:rPr>
                  </w:pPr>
                  <w:r>
                    <w:rPr>
                      <w:rFonts w:ascii="Calibri" w:hAnsi="Calibri"/>
                      <w:color w:val="000000"/>
                      <w:sz w:val="22"/>
                      <w:szCs w:val="22"/>
                    </w:rPr>
                    <w:t>Transport der Spenderlymphozyten an GMP-Labor bzw. Firma</w:t>
                  </w:r>
                </w:p>
              </w:tc>
              <w:tc>
                <w:tcPr>
                  <w:tcW w:w="1340" w:type="dxa"/>
                  <w:tcBorders>
                    <w:top w:val="nil"/>
                    <w:left w:val="nil"/>
                    <w:bottom w:val="single" w:sz="4" w:space="0" w:color="auto"/>
                    <w:right w:val="single" w:sz="4" w:space="0" w:color="auto"/>
                  </w:tcBorders>
                  <w:shd w:val="clear" w:color="auto" w:fill="auto"/>
                  <w:noWrap/>
                  <w:vAlign w:val="bottom"/>
                  <w:hideMark/>
                </w:tcPr>
                <w:p w14:paraId="6903D62E" w14:textId="18205B51" w:rsidR="005F6DEF" w:rsidRDefault="004908FF" w:rsidP="00367F87">
                  <w:pPr>
                    <w:jc w:val="right"/>
                    <w:rPr>
                      <w:rFonts w:ascii="Calibri" w:hAnsi="Calibri"/>
                      <w:color w:val="000000"/>
                      <w:sz w:val="22"/>
                      <w:szCs w:val="22"/>
                    </w:rPr>
                  </w:pPr>
                  <w:r>
                    <w:rPr>
                      <w:rFonts w:ascii="Calibri" w:hAnsi="Calibri"/>
                      <w:color w:val="000000"/>
                      <w:sz w:val="22"/>
                      <w:szCs w:val="22"/>
                    </w:rPr>
                    <w:t>800</w:t>
                  </w:r>
                  <w:r w:rsidR="005F6DEF">
                    <w:rPr>
                      <w:rFonts w:ascii="Calibri" w:hAnsi="Calibri"/>
                      <w:color w:val="000000"/>
                      <w:sz w:val="22"/>
                      <w:szCs w:val="22"/>
                    </w:rPr>
                    <w:t>,00 €</w:t>
                  </w:r>
                </w:p>
              </w:tc>
              <w:tc>
                <w:tcPr>
                  <w:tcW w:w="1320" w:type="dxa"/>
                  <w:tcBorders>
                    <w:top w:val="nil"/>
                    <w:left w:val="nil"/>
                    <w:bottom w:val="single" w:sz="4" w:space="0" w:color="auto"/>
                    <w:right w:val="single" w:sz="4" w:space="0" w:color="auto"/>
                  </w:tcBorders>
                  <w:shd w:val="clear" w:color="auto" w:fill="auto"/>
                  <w:noWrap/>
                  <w:vAlign w:val="bottom"/>
                  <w:hideMark/>
                </w:tcPr>
                <w:p w14:paraId="533C9DD1"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577F4579" w14:textId="2C5C02E6" w:rsidR="005F6DEF" w:rsidRDefault="004908FF" w:rsidP="00367F87">
                  <w:pPr>
                    <w:jc w:val="right"/>
                    <w:rPr>
                      <w:rFonts w:ascii="Calibri" w:hAnsi="Calibri"/>
                      <w:color w:val="000000"/>
                      <w:sz w:val="22"/>
                      <w:szCs w:val="22"/>
                    </w:rPr>
                  </w:pPr>
                  <w:r>
                    <w:rPr>
                      <w:rFonts w:ascii="Calibri" w:hAnsi="Calibri"/>
                      <w:color w:val="000000"/>
                      <w:sz w:val="22"/>
                      <w:szCs w:val="22"/>
                    </w:rPr>
                    <w:t>800</w:t>
                  </w:r>
                  <w:r w:rsidR="005F6DEF">
                    <w:rPr>
                      <w:rFonts w:ascii="Calibri" w:hAnsi="Calibri"/>
                      <w:color w:val="000000"/>
                      <w:sz w:val="22"/>
                      <w:szCs w:val="22"/>
                    </w:rPr>
                    <w:t>,00 €</w:t>
                  </w:r>
                </w:p>
              </w:tc>
            </w:tr>
            <w:tr w:rsidR="005F6DEF" w14:paraId="630B9192" w14:textId="77777777" w:rsidTr="00367F87">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43BEC62" w14:textId="77777777" w:rsidR="005F6DEF" w:rsidRDefault="005F6DEF" w:rsidP="00367F87">
                  <w:pPr>
                    <w:rPr>
                      <w:rFonts w:ascii="Calibri" w:hAnsi="Calibri"/>
                      <w:b/>
                      <w:bCs/>
                      <w:color w:val="000000"/>
                      <w:sz w:val="22"/>
                      <w:szCs w:val="22"/>
                    </w:rPr>
                  </w:pPr>
                  <w:r>
                    <w:rPr>
                      <w:rFonts w:ascii="Calibri" w:hAnsi="Calibri"/>
                      <w:b/>
                      <w:bCs/>
                      <w:color w:val="000000"/>
                      <w:sz w:val="22"/>
                      <w:szCs w:val="22"/>
                    </w:rPr>
                    <w:t>Personal</w:t>
                  </w:r>
                </w:p>
              </w:tc>
              <w:tc>
                <w:tcPr>
                  <w:tcW w:w="1340" w:type="dxa"/>
                  <w:tcBorders>
                    <w:top w:val="nil"/>
                    <w:left w:val="nil"/>
                    <w:bottom w:val="single" w:sz="4" w:space="0" w:color="auto"/>
                    <w:right w:val="single" w:sz="4" w:space="0" w:color="auto"/>
                  </w:tcBorders>
                  <w:shd w:val="clear" w:color="auto" w:fill="auto"/>
                  <w:noWrap/>
                  <w:vAlign w:val="bottom"/>
                  <w:hideMark/>
                </w:tcPr>
                <w:p w14:paraId="79E840A4"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04D9FF"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7B2C06BE" w14:textId="77777777" w:rsidR="005F6DEF" w:rsidRDefault="005F6DEF" w:rsidP="00367F87">
                  <w:pPr>
                    <w:rPr>
                      <w:rFonts w:ascii="Calibri" w:hAnsi="Calibri"/>
                      <w:color w:val="000000"/>
                      <w:sz w:val="22"/>
                      <w:szCs w:val="22"/>
                    </w:rPr>
                  </w:pPr>
                  <w:r>
                    <w:rPr>
                      <w:rFonts w:ascii="Calibri" w:hAnsi="Calibri"/>
                      <w:color w:val="000000"/>
                      <w:sz w:val="22"/>
                      <w:szCs w:val="22"/>
                    </w:rPr>
                    <w:t> </w:t>
                  </w:r>
                </w:p>
              </w:tc>
            </w:tr>
            <w:tr w:rsidR="005F6DEF" w14:paraId="5330847A" w14:textId="77777777" w:rsidTr="00367F87">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DDC7344" w14:textId="77777777" w:rsidR="005F6DEF" w:rsidRDefault="005F6DEF" w:rsidP="00367F87">
                  <w:pPr>
                    <w:rPr>
                      <w:rFonts w:ascii="Calibri" w:hAnsi="Calibri"/>
                      <w:color w:val="000000"/>
                      <w:sz w:val="22"/>
                      <w:szCs w:val="22"/>
                    </w:rPr>
                  </w:pPr>
                  <w:r>
                    <w:rPr>
                      <w:rFonts w:ascii="Calibri" w:hAnsi="Calibri"/>
                      <w:color w:val="000000"/>
                      <w:sz w:val="22"/>
                      <w:szCs w:val="22"/>
                    </w:rPr>
                    <w:t xml:space="preserve">wissenschaftlicher Mitarbeiter 12 Stunden </w:t>
                  </w:r>
                </w:p>
              </w:tc>
              <w:tc>
                <w:tcPr>
                  <w:tcW w:w="1340" w:type="dxa"/>
                  <w:tcBorders>
                    <w:top w:val="nil"/>
                    <w:left w:val="nil"/>
                    <w:bottom w:val="single" w:sz="4" w:space="0" w:color="auto"/>
                    <w:right w:val="single" w:sz="4" w:space="0" w:color="auto"/>
                  </w:tcBorders>
                  <w:shd w:val="clear" w:color="auto" w:fill="auto"/>
                  <w:noWrap/>
                  <w:vAlign w:val="bottom"/>
                  <w:hideMark/>
                </w:tcPr>
                <w:p w14:paraId="1D3EE0C1" w14:textId="60E80E8A" w:rsidR="005F6DEF" w:rsidRDefault="004908FF" w:rsidP="00367F87">
                  <w:pPr>
                    <w:jc w:val="right"/>
                    <w:rPr>
                      <w:rFonts w:ascii="Calibri" w:hAnsi="Calibri"/>
                      <w:color w:val="000000"/>
                      <w:sz w:val="22"/>
                      <w:szCs w:val="22"/>
                    </w:rPr>
                  </w:pPr>
                  <w:r>
                    <w:rPr>
                      <w:rFonts w:ascii="Calibri" w:hAnsi="Calibri"/>
                      <w:color w:val="000000"/>
                      <w:sz w:val="22"/>
                      <w:szCs w:val="22"/>
                    </w:rPr>
                    <w:t>800,00</w:t>
                  </w:r>
                  <w:r w:rsidR="005F6DEF">
                    <w:rPr>
                      <w:rFonts w:ascii="Calibri" w:hAnsi="Calibri"/>
                      <w:color w:val="00000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14:paraId="104118EB"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65A9D1" w14:textId="4182ADEF" w:rsidR="005F6DEF" w:rsidRDefault="005F6DEF" w:rsidP="00975C96">
                  <w:pPr>
                    <w:jc w:val="right"/>
                    <w:rPr>
                      <w:rFonts w:ascii="Calibri" w:hAnsi="Calibri"/>
                      <w:color w:val="000000"/>
                      <w:sz w:val="22"/>
                      <w:szCs w:val="22"/>
                    </w:rPr>
                  </w:pPr>
                  <w:r>
                    <w:rPr>
                      <w:rFonts w:ascii="Calibri" w:hAnsi="Calibri"/>
                      <w:color w:val="000000"/>
                      <w:sz w:val="22"/>
                      <w:szCs w:val="22"/>
                    </w:rPr>
                    <w:t>1.</w:t>
                  </w:r>
                  <w:r w:rsidR="00975C96">
                    <w:rPr>
                      <w:rFonts w:ascii="Calibri" w:hAnsi="Calibri"/>
                      <w:color w:val="000000"/>
                      <w:sz w:val="22"/>
                      <w:szCs w:val="22"/>
                    </w:rPr>
                    <w:t>300</w:t>
                  </w:r>
                  <w:r>
                    <w:rPr>
                      <w:rFonts w:ascii="Calibri" w:hAnsi="Calibri"/>
                      <w:color w:val="000000"/>
                      <w:sz w:val="22"/>
                      <w:szCs w:val="22"/>
                    </w:rPr>
                    <w:t>,00 €</w:t>
                  </w:r>
                </w:p>
              </w:tc>
            </w:tr>
            <w:tr w:rsidR="005F6DEF" w14:paraId="53570DCD" w14:textId="77777777" w:rsidTr="00367F87">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7571617" w14:textId="7BFD6A84" w:rsidR="005F6DEF" w:rsidRDefault="00817A75" w:rsidP="00817A75">
                  <w:pPr>
                    <w:rPr>
                      <w:rFonts w:ascii="Calibri" w:hAnsi="Calibri"/>
                      <w:color w:val="000000"/>
                      <w:sz w:val="22"/>
                      <w:szCs w:val="22"/>
                    </w:rPr>
                  </w:pPr>
                  <w:r>
                    <w:rPr>
                      <w:rFonts w:ascii="Calibri" w:hAnsi="Calibri"/>
                      <w:color w:val="000000"/>
                      <w:sz w:val="22"/>
                      <w:szCs w:val="22"/>
                    </w:rPr>
                    <w:t>Medizinisch-</w:t>
                  </w:r>
                  <w:r w:rsidR="005F6DEF">
                    <w:rPr>
                      <w:rFonts w:ascii="Calibri" w:hAnsi="Calibri"/>
                      <w:color w:val="000000"/>
                      <w:sz w:val="22"/>
                      <w:szCs w:val="22"/>
                    </w:rPr>
                    <w:t>technische Assistenten/innen 2 x 16 Stunden</w:t>
                  </w:r>
                </w:p>
              </w:tc>
              <w:tc>
                <w:tcPr>
                  <w:tcW w:w="1340" w:type="dxa"/>
                  <w:tcBorders>
                    <w:top w:val="nil"/>
                    <w:left w:val="nil"/>
                    <w:bottom w:val="single" w:sz="4" w:space="0" w:color="auto"/>
                    <w:right w:val="single" w:sz="4" w:space="0" w:color="auto"/>
                  </w:tcBorders>
                  <w:shd w:val="clear" w:color="auto" w:fill="auto"/>
                  <w:noWrap/>
                  <w:vAlign w:val="bottom"/>
                  <w:hideMark/>
                </w:tcPr>
                <w:p w14:paraId="32F714B2" w14:textId="4D576F95" w:rsidR="005F6DEF" w:rsidRDefault="004908FF" w:rsidP="00367F87">
                  <w:pPr>
                    <w:jc w:val="right"/>
                    <w:rPr>
                      <w:rFonts w:ascii="Calibri" w:hAnsi="Calibri"/>
                      <w:color w:val="000000"/>
                      <w:sz w:val="22"/>
                      <w:szCs w:val="22"/>
                    </w:rPr>
                  </w:pPr>
                  <w:r>
                    <w:rPr>
                      <w:rFonts w:ascii="Calibri" w:hAnsi="Calibri"/>
                      <w:color w:val="000000"/>
                      <w:sz w:val="22"/>
                      <w:szCs w:val="22"/>
                    </w:rPr>
                    <w:t>900,00</w:t>
                  </w:r>
                  <w:r w:rsidR="005F6DEF">
                    <w:rPr>
                      <w:rFonts w:ascii="Calibri" w:hAnsi="Calibri"/>
                      <w:color w:val="00000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14:paraId="4BE1CE2D"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vMerge/>
                  <w:tcBorders>
                    <w:top w:val="nil"/>
                    <w:left w:val="single" w:sz="4" w:space="0" w:color="auto"/>
                    <w:bottom w:val="single" w:sz="4" w:space="0" w:color="auto"/>
                    <w:right w:val="single" w:sz="4" w:space="0" w:color="auto"/>
                  </w:tcBorders>
                  <w:vAlign w:val="center"/>
                  <w:hideMark/>
                </w:tcPr>
                <w:p w14:paraId="30AF6233" w14:textId="77777777" w:rsidR="005F6DEF" w:rsidRDefault="005F6DEF" w:rsidP="00367F87">
                  <w:pPr>
                    <w:rPr>
                      <w:rFonts w:ascii="Calibri" w:hAnsi="Calibri"/>
                      <w:color w:val="000000"/>
                      <w:sz w:val="22"/>
                      <w:szCs w:val="22"/>
                    </w:rPr>
                  </w:pPr>
                </w:p>
              </w:tc>
            </w:tr>
            <w:tr w:rsidR="005F6DEF" w14:paraId="0873B239" w14:textId="77777777" w:rsidTr="00367F87">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DB9520E" w14:textId="77777777" w:rsidR="005F6DEF" w:rsidRDefault="005F6DEF" w:rsidP="00367F87">
                  <w:pPr>
                    <w:rPr>
                      <w:rFonts w:ascii="Calibri" w:hAnsi="Calibri"/>
                      <w:b/>
                      <w:bCs/>
                      <w:color w:val="000000"/>
                      <w:sz w:val="22"/>
                      <w:szCs w:val="22"/>
                    </w:rPr>
                  </w:pPr>
                  <w:r>
                    <w:rPr>
                      <w:rFonts w:ascii="Calibri" w:hAnsi="Calibri"/>
                      <w:b/>
                      <w:bCs/>
                      <w:color w:val="000000"/>
                      <w:sz w:val="22"/>
                      <w:szCs w:val="22"/>
                    </w:rPr>
                    <w:t>Verbrauchsmaterial</w:t>
                  </w:r>
                </w:p>
              </w:tc>
              <w:tc>
                <w:tcPr>
                  <w:tcW w:w="1340" w:type="dxa"/>
                  <w:tcBorders>
                    <w:top w:val="nil"/>
                    <w:left w:val="nil"/>
                    <w:bottom w:val="single" w:sz="4" w:space="0" w:color="auto"/>
                    <w:right w:val="single" w:sz="4" w:space="0" w:color="auto"/>
                  </w:tcBorders>
                  <w:shd w:val="clear" w:color="auto" w:fill="auto"/>
                  <w:noWrap/>
                  <w:vAlign w:val="bottom"/>
                  <w:hideMark/>
                </w:tcPr>
                <w:p w14:paraId="598DC218"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5BF8D9"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1966666A" w14:textId="77777777" w:rsidR="005F6DEF" w:rsidRDefault="005F6DEF" w:rsidP="00367F87">
                  <w:pPr>
                    <w:rPr>
                      <w:rFonts w:ascii="Calibri" w:hAnsi="Calibri"/>
                      <w:color w:val="000000"/>
                      <w:sz w:val="22"/>
                      <w:szCs w:val="22"/>
                    </w:rPr>
                  </w:pPr>
                  <w:r>
                    <w:rPr>
                      <w:rFonts w:ascii="Calibri" w:hAnsi="Calibri"/>
                      <w:color w:val="000000"/>
                      <w:sz w:val="22"/>
                      <w:szCs w:val="22"/>
                    </w:rPr>
                    <w:t> </w:t>
                  </w:r>
                </w:p>
              </w:tc>
            </w:tr>
            <w:tr w:rsidR="005F6DEF" w14:paraId="4A0B3D44" w14:textId="77777777" w:rsidTr="00367F87">
              <w:trPr>
                <w:trHeight w:val="9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988F3A5" w14:textId="2E608517" w:rsidR="005F6DEF" w:rsidRDefault="005F6DEF" w:rsidP="0073366C">
                  <w:pPr>
                    <w:rPr>
                      <w:rFonts w:ascii="Calibri" w:hAnsi="Calibri"/>
                      <w:color w:val="000000"/>
                      <w:sz w:val="22"/>
                      <w:szCs w:val="22"/>
                    </w:rPr>
                  </w:pPr>
                  <w:r>
                    <w:rPr>
                      <w:rFonts w:ascii="Calibri" w:hAnsi="Calibri"/>
                      <w:color w:val="000000"/>
                      <w:sz w:val="22"/>
                      <w:szCs w:val="22"/>
                    </w:rPr>
                    <w:t xml:space="preserve">Verbrauchsmaterialien </w:t>
                  </w:r>
                </w:p>
              </w:tc>
              <w:tc>
                <w:tcPr>
                  <w:tcW w:w="1340" w:type="dxa"/>
                  <w:tcBorders>
                    <w:top w:val="nil"/>
                    <w:left w:val="nil"/>
                    <w:bottom w:val="single" w:sz="4" w:space="0" w:color="auto"/>
                    <w:right w:val="single" w:sz="4" w:space="0" w:color="auto"/>
                  </w:tcBorders>
                  <w:shd w:val="clear" w:color="auto" w:fill="auto"/>
                  <w:noWrap/>
                  <w:vAlign w:val="bottom"/>
                  <w:hideMark/>
                </w:tcPr>
                <w:p w14:paraId="75F7F0F5" w14:textId="40F9A794" w:rsidR="005F6DEF" w:rsidRDefault="004908FF" w:rsidP="00975C96">
                  <w:pPr>
                    <w:jc w:val="right"/>
                    <w:rPr>
                      <w:rFonts w:ascii="Calibri" w:hAnsi="Calibri"/>
                      <w:color w:val="000000"/>
                      <w:sz w:val="22"/>
                      <w:szCs w:val="22"/>
                    </w:rPr>
                  </w:pPr>
                  <w:r>
                    <w:rPr>
                      <w:rFonts w:ascii="Calibri" w:hAnsi="Calibri"/>
                      <w:color w:val="000000"/>
                      <w:sz w:val="22"/>
                      <w:szCs w:val="22"/>
                    </w:rPr>
                    <w:t>1</w:t>
                  </w:r>
                  <w:r w:rsidR="00975C96">
                    <w:rPr>
                      <w:rFonts w:ascii="Calibri" w:hAnsi="Calibri"/>
                      <w:color w:val="000000"/>
                      <w:sz w:val="22"/>
                      <w:szCs w:val="22"/>
                    </w:rPr>
                    <w:t>2</w:t>
                  </w:r>
                  <w:r w:rsidR="005F6DEF">
                    <w:rPr>
                      <w:rFonts w:ascii="Calibri" w:hAnsi="Calibri"/>
                      <w:color w:val="000000"/>
                      <w:sz w:val="22"/>
                      <w:szCs w:val="22"/>
                    </w:rPr>
                    <w:t>.000,00 €</w:t>
                  </w:r>
                </w:p>
              </w:tc>
              <w:tc>
                <w:tcPr>
                  <w:tcW w:w="1320" w:type="dxa"/>
                  <w:tcBorders>
                    <w:top w:val="nil"/>
                    <w:left w:val="nil"/>
                    <w:bottom w:val="single" w:sz="4" w:space="0" w:color="auto"/>
                    <w:right w:val="single" w:sz="4" w:space="0" w:color="auto"/>
                  </w:tcBorders>
                  <w:shd w:val="clear" w:color="auto" w:fill="auto"/>
                  <w:noWrap/>
                  <w:vAlign w:val="bottom"/>
                  <w:hideMark/>
                </w:tcPr>
                <w:p w14:paraId="43E3D60C"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16976BB2" w14:textId="188FA677" w:rsidR="005F6DEF" w:rsidRDefault="001E77BE" w:rsidP="00975C96">
                  <w:pPr>
                    <w:jc w:val="right"/>
                    <w:rPr>
                      <w:rFonts w:ascii="Calibri" w:hAnsi="Calibri"/>
                      <w:color w:val="000000"/>
                      <w:sz w:val="22"/>
                      <w:szCs w:val="22"/>
                    </w:rPr>
                  </w:pPr>
                  <w:r>
                    <w:rPr>
                      <w:rFonts w:ascii="Calibri" w:hAnsi="Calibri"/>
                      <w:color w:val="000000"/>
                      <w:sz w:val="22"/>
                      <w:szCs w:val="22"/>
                    </w:rPr>
                    <w:t>1</w:t>
                  </w:r>
                  <w:r w:rsidR="00975C96">
                    <w:rPr>
                      <w:rFonts w:ascii="Calibri" w:hAnsi="Calibri"/>
                      <w:color w:val="000000"/>
                      <w:sz w:val="22"/>
                      <w:szCs w:val="22"/>
                    </w:rPr>
                    <w:t>2</w:t>
                  </w:r>
                  <w:r w:rsidR="005F6DEF">
                    <w:rPr>
                      <w:rFonts w:ascii="Calibri" w:hAnsi="Calibri"/>
                      <w:color w:val="000000"/>
                      <w:sz w:val="22"/>
                      <w:szCs w:val="22"/>
                    </w:rPr>
                    <w:t>.500,00 €</w:t>
                  </w:r>
                </w:p>
              </w:tc>
            </w:tr>
            <w:tr w:rsidR="005F6DEF" w14:paraId="289F50D3" w14:textId="77777777" w:rsidTr="00367F87">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C3A3CFC" w14:textId="77777777" w:rsidR="005F6DEF" w:rsidRDefault="005F6DEF" w:rsidP="00367F87">
                  <w:pPr>
                    <w:rPr>
                      <w:rFonts w:ascii="Calibri" w:hAnsi="Calibri"/>
                      <w:b/>
                      <w:bCs/>
                      <w:color w:val="000000"/>
                      <w:sz w:val="22"/>
                      <w:szCs w:val="22"/>
                    </w:rPr>
                  </w:pPr>
                  <w:r>
                    <w:rPr>
                      <w:rFonts w:ascii="Calibri" w:hAnsi="Calibri"/>
                      <w:b/>
                      <w:bCs/>
                      <w:color w:val="000000"/>
                      <w:sz w:val="22"/>
                      <w:szCs w:val="22"/>
                    </w:rPr>
                    <w:t>sonstige Kosten</w:t>
                  </w:r>
                </w:p>
              </w:tc>
              <w:tc>
                <w:tcPr>
                  <w:tcW w:w="1340" w:type="dxa"/>
                  <w:tcBorders>
                    <w:top w:val="nil"/>
                    <w:left w:val="nil"/>
                    <w:bottom w:val="single" w:sz="4" w:space="0" w:color="auto"/>
                    <w:right w:val="single" w:sz="4" w:space="0" w:color="auto"/>
                  </w:tcBorders>
                  <w:shd w:val="clear" w:color="auto" w:fill="auto"/>
                  <w:noWrap/>
                  <w:vAlign w:val="bottom"/>
                  <w:hideMark/>
                </w:tcPr>
                <w:p w14:paraId="51425CDF"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9F1C23B"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4AB54EDD" w14:textId="77777777" w:rsidR="005F6DEF" w:rsidRDefault="005F6DEF" w:rsidP="00367F87">
                  <w:pPr>
                    <w:rPr>
                      <w:rFonts w:ascii="Calibri" w:hAnsi="Calibri"/>
                      <w:color w:val="000000"/>
                      <w:sz w:val="22"/>
                      <w:szCs w:val="22"/>
                    </w:rPr>
                  </w:pPr>
                  <w:r>
                    <w:rPr>
                      <w:rFonts w:ascii="Calibri" w:hAnsi="Calibri"/>
                      <w:color w:val="000000"/>
                      <w:sz w:val="22"/>
                      <w:szCs w:val="22"/>
                    </w:rPr>
                    <w:t> </w:t>
                  </w:r>
                </w:p>
              </w:tc>
            </w:tr>
            <w:tr w:rsidR="005F6DEF" w14:paraId="61CAA9B5" w14:textId="77777777" w:rsidTr="00367F87">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2EC6EA5" w14:textId="77777777" w:rsidR="005F6DEF" w:rsidRDefault="005F6DEF" w:rsidP="00367F87">
                  <w:pPr>
                    <w:rPr>
                      <w:rFonts w:ascii="Calibri" w:hAnsi="Calibri"/>
                      <w:color w:val="000000"/>
                      <w:sz w:val="22"/>
                      <w:szCs w:val="22"/>
                    </w:rPr>
                  </w:pPr>
                  <w:r>
                    <w:rPr>
                      <w:rFonts w:ascii="Calibri" w:hAnsi="Calibri"/>
                      <w:color w:val="000000"/>
                      <w:sz w:val="22"/>
                      <w:szCs w:val="22"/>
                    </w:rPr>
                    <w:t>Kosten für regulatorische Aufwendungen / GMP-QM</w:t>
                  </w:r>
                </w:p>
              </w:tc>
              <w:tc>
                <w:tcPr>
                  <w:tcW w:w="1340" w:type="dxa"/>
                  <w:tcBorders>
                    <w:top w:val="nil"/>
                    <w:left w:val="nil"/>
                    <w:bottom w:val="single" w:sz="4" w:space="0" w:color="auto"/>
                    <w:right w:val="single" w:sz="4" w:space="0" w:color="auto"/>
                  </w:tcBorders>
                  <w:shd w:val="clear" w:color="auto" w:fill="auto"/>
                  <w:noWrap/>
                  <w:vAlign w:val="bottom"/>
                  <w:hideMark/>
                </w:tcPr>
                <w:p w14:paraId="435D6810" w14:textId="59F1DA74" w:rsidR="005F6DEF" w:rsidRDefault="005F6DEF" w:rsidP="001E77BE">
                  <w:pPr>
                    <w:jc w:val="right"/>
                    <w:rPr>
                      <w:rFonts w:ascii="Calibri" w:hAnsi="Calibri"/>
                      <w:color w:val="000000"/>
                      <w:sz w:val="22"/>
                      <w:szCs w:val="22"/>
                    </w:rPr>
                  </w:pPr>
                  <w:r>
                    <w:rPr>
                      <w:rFonts w:ascii="Calibri" w:hAnsi="Calibri"/>
                      <w:color w:val="000000"/>
                      <w:sz w:val="22"/>
                      <w:szCs w:val="22"/>
                    </w:rPr>
                    <w:t>1.</w:t>
                  </w:r>
                  <w:r w:rsidR="001E77BE">
                    <w:rPr>
                      <w:rFonts w:ascii="Calibri" w:hAnsi="Calibri"/>
                      <w:color w:val="000000"/>
                      <w:sz w:val="22"/>
                      <w:szCs w:val="22"/>
                    </w:rPr>
                    <w:t>5</w:t>
                  </w:r>
                  <w:r w:rsidR="004908FF">
                    <w:rPr>
                      <w:rFonts w:ascii="Calibri" w:hAnsi="Calibri"/>
                      <w:color w:val="000000"/>
                      <w:sz w:val="22"/>
                      <w:szCs w:val="22"/>
                    </w:rPr>
                    <w:t>00</w:t>
                  </w:r>
                  <w:r>
                    <w:rPr>
                      <w:rFonts w:ascii="Calibri" w:hAnsi="Calibri"/>
                      <w:color w:val="000000"/>
                      <w:sz w:val="22"/>
                      <w:szCs w:val="22"/>
                    </w:rPr>
                    <w:t>,00 €</w:t>
                  </w:r>
                </w:p>
              </w:tc>
              <w:tc>
                <w:tcPr>
                  <w:tcW w:w="1320" w:type="dxa"/>
                  <w:tcBorders>
                    <w:top w:val="nil"/>
                    <w:left w:val="nil"/>
                    <w:bottom w:val="single" w:sz="4" w:space="0" w:color="auto"/>
                    <w:right w:val="single" w:sz="4" w:space="0" w:color="auto"/>
                  </w:tcBorders>
                  <w:shd w:val="clear" w:color="auto" w:fill="auto"/>
                  <w:noWrap/>
                  <w:vAlign w:val="bottom"/>
                  <w:hideMark/>
                </w:tcPr>
                <w:p w14:paraId="716E0986"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2570571D" w14:textId="2E5668F6" w:rsidR="005F6DEF" w:rsidRDefault="005F6DEF" w:rsidP="001E77BE">
                  <w:pPr>
                    <w:jc w:val="right"/>
                    <w:rPr>
                      <w:rFonts w:ascii="Calibri" w:hAnsi="Calibri"/>
                      <w:color w:val="000000"/>
                      <w:sz w:val="22"/>
                      <w:szCs w:val="22"/>
                    </w:rPr>
                  </w:pPr>
                  <w:r>
                    <w:rPr>
                      <w:rFonts w:ascii="Calibri" w:hAnsi="Calibri"/>
                      <w:color w:val="000000"/>
                      <w:sz w:val="22"/>
                      <w:szCs w:val="22"/>
                    </w:rPr>
                    <w:t>1.</w:t>
                  </w:r>
                  <w:r w:rsidR="001E77BE">
                    <w:rPr>
                      <w:rFonts w:ascii="Calibri" w:hAnsi="Calibri"/>
                      <w:color w:val="000000"/>
                      <w:sz w:val="22"/>
                      <w:szCs w:val="22"/>
                    </w:rPr>
                    <w:t>5</w:t>
                  </w:r>
                  <w:r w:rsidR="004908FF">
                    <w:rPr>
                      <w:rFonts w:ascii="Calibri" w:hAnsi="Calibri"/>
                      <w:color w:val="000000"/>
                      <w:sz w:val="22"/>
                      <w:szCs w:val="22"/>
                    </w:rPr>
                    <w:t>00</w:t>
                  </w:r>
                  <w:r>
                    <w:rPr>
                      <w:rFonts w:ascii="Calibri" w:hAnsi="Calibri"/>
                      <w:color w:val="000000"/>
                      <w:sz w:val="22"/>
                      <w:szCs w:val="22"/>
                    </w:rPr>
                    <w:t>,00 €</w:t>
                  </w:r>
                </w:p>
              </w:tc>
            </w:tr>
            <w:tr w:rsidR="005F6DEF" w14:paraId="2E0A2F6A" w14:textId="77777777" w:rsidTr="00367F87">
              <w:trPr>
                <w:trHeight w:val="375"/>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6DD6B1B" w14:textId="73E03A1C" w:rsidR="005F6DEF" w:rsidRDefault="005F6DEF" w:rsidP="00367F87">
                  <w:pPr>
                    <w:rPr>
                      <w:rFonts w:ascii="Calibri" w:hAnsi="Calibri"/>
                      <w:color w:val="000000"/>
                      <w:sz w:val="22"/>
                      <w:szCs w:val="22"/>
                    </w:rPr>
                  </w:pPr>
                  <w:r>
                    <w:rPr>
                      <w:rFonts w:ascii="Calibri" w:hAnsi="Calibri"/>
                      <w:color w:val="000000"/>
                      <w:sz w:val="22"/>
                      <w:szCs w:val="22"/>
                    </w:rPr>
                    <w:t>Medi</w:t>
                  </w:r>
                  <w:r w:rsidR="00817A75">
                    <w:rPr>
                      <w:rFonts w:ascii="Calibri" w:hAnsi="Calibri"/>
                      <w:color w:val="000000"/>
                      <w:sz w:val="22"/>
                      <w:szCs w:val="22"/>
                    </w:rPr>
                    <w:t>zi</w:t>
                  </w:r>
                  <w:r>
                    <w:rPr>
                      <w:rFonts w:ascii="Calibri" w:hAnsi="Calibri"/>
                      <w:color w:val="000000"/>
                      <w:sz w:val="22"/>
                      <w:szCs w:val="22"/>
                    </w:rPr>
                    <w:t>nische und nichtmedizinische Infrastruktur</w:t>
                  </w:r>
                  <w:r w:rsidR="00975C96">
                    <w:rPr>
                      <w:rFonts w:ascii="Calibri" w:hAnsi="Calibri"/>
                      <w:color w:val="000000"/>
                      <w:sz w:val="22"/>
                      <w:szCs w:val="22"/>
                    </w:rPr>
                    <w:t>/ GMP Facility</w:t>
                  </w:r>
                </w:p>
              </w:tc>
              <w:tc>
                <w:tcPr>
                  <w:tcW w:w="1340" w:type="dxa"/>
                  <w:tcBorders>
                    <w:top w:val="nil"/>
                    <w:left w:val="nil"/>
                    <w:bottom w:val="single" w:sz="4" w:space="0" w:color="auto"/>
                    <w:right w:val="single" w:sz="4" w:space="0" w:color="auto"/>
                  </w:tcBorders>
                  <w:shd w:val="clear" w:color="auto" w:fill="auto"/>
                  <w:noWrap/>
                  <w:vAlign w:val="bottom"/>
                  <w:hideMark/>
                </w:tcPr>
                <w:p w14:paraId="6762C94B" w14:textId="44057085" w:rsidR="005F6DEF" w:rsidRDefault="004908FF" w:rsidP="00367F87">
                  <w:pPr>
                    <w:jc w:val="right"/>
                    <w:rPr>
                      <w:rFonts w:ascii="Calibri" w:hAnsi="Calibri"/>
                      <w:color w:val="000000"/>
                      <w:sz w:val="22"/>
                      <w:szCs w:val="22"/>
                    </w:rPr>
                  </w:pPr>
                  <w:r>
                    <w:rPr>
                      <w:rFonts w:ascii="Calibri" w:hAnsi="Calibri"/>
                      <w:color w:val="000000"/>
                      <w:sz w:val="22"/>
                      <w:szCs w:val="22"/>
                    </w:rPr>
                    <w:t>3000</w:t>
                  </w:r>
                  <w:r w:rsidR="005F6DEF">
                    <w:rPr>
                      <w:rFonts w:ascii="Calibri" w:hAnsi="Calibri"/>
                      <w:color w:val="000000"/>
                      <w:sz w:val="22"/>
                      <w:szCs w:val="22"/>
                    </w:rPr>
                    <w:t>,00 €</w:t>
                  </w:r>
                </w:p>
              </w:tc>
              <w:tc>
                <w:tcPr>
                  <w:tcW w:w="1320" w:type="dxa"/>
                  <w:tcBorders>
                    <w:top w:val="nil"/>
                    <w:left w:val="nil"/>
                    <w:bottom w:val="single" w:sz="4" w:space="0" w:color="auto"/>
                    <w:right w:val="single" w:sz="4" w:space="0" w:color="auto"/>
                  </w:tcBorders>
                  <w:shd w:val="clear" w:color="auto" w:fill="auto"/>
                  <w:noWrap/>
                  <w:vAlign w:val="bottom"/>
                  <w:hideMark/>
                </w:tcPr>
                <w:p w14:paraId="53D11DF5"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1877266F" w14:textId="1FBA7F47" w:rsidR="005F6DEF" w:rsidRDefault="004908FF" w:rsidP="00367F87">
                  <w:pPr>
                    <w:jc w:val="right"/>
                    <w:rPr>
                      <w:rFonts w:ascii="Calibri" w:hAnsi="Calibri"/>
                      <w:color w:val="000000"/>
                      <w:sz w:val="22"/>
                      <w:szCs w:val="22"/>
                    </w:rPr>
                  </w:pPr>
                  <w:r>
                    <w:rPr>
                      <w:rFonts w:ascii="Calibri" w:hAnsi="Calibri"/>
                      <w:color w:val="000000"/>
                      <w:sz w:val="22"/>
                      <w:szCs w:val="22"/>
                    </w:rPr>
                    <w:t>3000</w:t>
                  </w:r>
                  <w:r w:rsidR="005F6DEF">
                    <w:rPr>
                      <w:rFonts w:ascii="Calibri" w:hAnsi="Calibri"/>
                      <w:color w:val="000000"/>
                      <w:sz w:val="22"/>
                      <w:szCs w:val="22"/>
                    </w:rPr>
                    <w:t>,00 €</w:t>
                  </w:r>
                </w:p>
              </w:tc>
            </w:tr>
            <w:tr w:rsidR="005F6DEF" w14:paraId="274D0829" w14:textId="77777777" w:rsidTr="00367F87">
              <w:trPr>
                <w:trHeight w:val="102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7C9CD19" w14:textId="77777777" w:rsidR="005F6DEF" w:rsidRDefault="005F6DEF" w:rsidP="00367F87">
                  <w:pPr>
                    <w:rPr>
                      <w:rFonts w:ascii="Calibri" w:hAnsi="Calibri"/>
                      <w:color w:val="000000"/>
                      <w:sz w:val="22"/>
                      <w:szCs w:val="22"/>
                    </w:rPr>
                  </w:pPr>
                  <w:r>
                    <w:rPr>
                      <w:rFonts w:ascii="Calibri" w:hAnsi="Calibri"/>
                      <w:color w:val="000000"/>
                      <w:sz w:val="22"/>
                      <w:szCs w:val="22"/>
                    </w:rPr>
                    <w:t>Transport der gegen Viren gerichteten Immunzellen an die Klinik / Kryokonservierung</w:t>
                  </w:r>
                </w:p>
              </w:tc>
              <w:tc>
                <w:tcPr>
                  <w:tcW w:w="1340" w:type="dxa"/>
                  <w:tcBorders>
                    <w:top w:val="nil"/>
                    <w:left w:val="nil"/>
                    <w:bottom w:val="single" w:sz="4" w:space="0" w:color="auto"/>
                    <w:right w:val="single" w:sz="4" w:space="0" w:color="auto"/>
                  </w:tcBorders>
                  <w:shd w:val="clear" w:color="auto" w:fill="auto"/>
                  <w:noWrap/>
                  <w:vAlign w:val="bottom"/>
                  <w:hideMark/>
                </w:tcPr>
                <w:p w14:paraId="73CE1EE1" w14:textId="77777777" w:rsidR="005F6DEF" w:rsidRDefault="005F6DEF" w:rsidP="00367F87">
                  <w:pPr>
                    <w:jc w:val="right"/>
                    <w:rPr>
                      <w:rFonts w:ascii="Calibri" w:hAnsi="Calibri"/>
                      <w:color w:val="000000"/>
                      <w:sz w:val="22"/>
                      <w:szCs w:val="22"/>
                    </w:rPr>
                  </w:pPr>
                  <w:r>
                    <w:rPr>
                      <w:rFonts w:ascii="Calibri" w:hAnsi="Calibri"/>
                      <w:color w:val="000000"/>
                      <w:sz w:val="22"/>
                      <w:szCs w:val="22"/>
                    </w:rPr>
                    <w:t>1.500,00 €</w:t>
                  </w:r>
                </w:p>
              </w:tc>
              <w:tc>
                <w:tcPr>
                  <w:tcW w:w="1320" w:type="dxa"/>
                  <w:tcBorders>
                    <w:top w:val="nil"/>
                    <w:left w:val="nil"/>
                    <w:bottom w:val="single" w:sz="4" w:space="0" w:color="auto"/>
                    <w:right w:val="single" w:sz="4" w:space="0" w:color="auto"/>
                  </w:tcBorders>
                  <w:shd w:val="clear" w:color="auto" w:fill="auto"/>
                  <w:noWrap/>
                  <w:vAlign w:val="bottom"/>
                  <w:hideMark/>
                </w:tcPr>
                <w:p w14:paraId="4583A608" w14:textId="77777777" w:rsidR="005F6DEF" w:rsidRDefault="005F6DEF" w:rsidP="00367F87">
                  <w:pPr>
                    <w:jc w:val="right"/>
                    <w:rPr>
                      <w:rFonts w:ascii="Calibri" w:hAnsi="Calibri"/>
                      <w:color w:val="000000"/>
                      <w:sz w:val="22"/>
                      <w:szCs w:val="22"/>
                    </w:rPr>
                  </w:pPr>
                  <w:r>
                    <w:rPr>
                      <w:rFonts w:ascii="Calibri" w:hAnsi="Calibri"/>
                      <w:color w:val="000000"/>
                      <w:sz w:val="22"/>
                      <w:szCs w:val="22"/>
                    </w:rPr>
                    <w:t>inklusive</w:t>
                  </w:r>
                </w:p>
              </w:tc>
              <w:tc>
                <w:tcPr>
                  <w:tcW w:w="1380" w:type="dxa"/>
                  <w:tcBorders>
                    <w:top w:val="nil"/>
                    <w:left w:val="nil"/>
                    <w:bottom w:val="single" w:sz="4" w:space="0" w:color="auto"/>
                    <w:right w:val="single" w:sz="4" w:space="0" w:color="auto"/>
                  </w:tcBorders>
                  <w:shd w:val="clear" w:color="auto" w:fill="auto"/>
                  <w:noWrap/>
                  <w:vAlign w:val="bottom"/>
                  <w:hideMark/>
                </w:tcPr>
                <w:p w14:paraId="66856A54" w14:textId="77777777" w:rsidR="005F6DEF" w:rsidRDefault="005F6DEF" w:rsidP="00367F87">
                  <w:pPr>
                    <w:jc w:val="right"/>
                    <w:rPr>
                      <w:rFonts w:ascii="Calibri" w:hAnsi="Calibri"/>
                      <w:color w:val="000000"/>
                      <w:sz w:val="22"/>
                      <w:szCs w:val="22"/>
                    </w:rPr>
                  </w:pPr>
                  <w:r>
                    <w:rPr>
                      <w:rFonts w:ascii="Calibri" w:hAnsi="Calibri"/>
                      <w:color w:val="000000"/>
                      <w:sz w:val="22"/>
                      <w:szCs w:val="22"/>
                    </w:rPr>
                    <w:t>1.500,00 €</w:t>
                  </w:r>
                </w:p>
              </w:tc>
            </w:tr>
            <w:tr w:rsidR="005F6DEF" w14:paraId="62AE14F8" w14:textId="77777777" w:rsidTr="00367F87">
              <w:trPr>
                <w:trHeight w:val="57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13ED919" w14:textId="77777777" w:rsidR="005F6DEF" w:rsidRDefault="005F6DEF" w:rsidP="00367F87">
                  <w:pPr>
                    <w:rPr>
                      <w:rFonts w:ascii="Calibri" w:hAnsi="Calibri"/>
                      <w:color w:val="000000"/>
                      <w:sz w:val="22"/>
                      <w:szCs w:val="22"/>
                    </w:rPr>
                  </w:pPr>
                  <w:r>
                    <w:rPr>
                      <w:rFonts w:ascii="Calibri" w:hAnsi="Calibri"/>
                      <w:color w:val="000000"/>
                      <w:sz w:val="22"/>
                      <w:szCs w:val="22"/>
                    </w:rPr>
                    <w:t>Preis</w:t>
                  </w:r>
                </w:p>
              </w:tc>
              <w:tc>
                <w:tcPr>
                  <w:tcW w:w="1340" w:type="dxa"/>
                  <w:tcBorders>
                    <w:top w:val="nil"/>
                    <w:left w:val="nil"/>
                    <w:bottom w:val="single" w:sz="4" w:space="0" w:color="auto"/>
                    <w:right w:val="single" w:sz="4" w:space="0" w:color="auto"/>
                  </w:tcBorders>
                  <w:shd w:val="clear" w:color="auto" w:fill="auto"/>
                  <w:noWrap/>
                  <w:vAlign w:val="bottom"/>
                  <w:hideMark/>
                </w:tcPr>
                <w:p w14:paraId="731B6381" w14:textId="77777777" w:rsidR="005F6DEF" w:rsidRDefault="005F6DEF" w:rsidP="00367F87">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CC53A61" w14:textId="77777777" w:rsidR="005F6DEF" w:rsidRDefault="005F6DEF" w:rsidP="00367F87">
                  <w:pPr>
                    <w:jc w:val="right"/>
                    <w:rPr>
                      <w:rFonts w:ascii="Calibri" w:hAnsi="Calibri"/>
                      <w:color w:val="000000"/>
                      <w:sz w:val="22"/>
                      <w:szCs w:val="22"/>
                    </w:rPr>
                  </w:pPr>
                  <w:r>
                    <w:rPr>
                      <w:rFonts w:ascii="Calibri" w:hAnsi="Calibri"/>
                      <w:color w:val="000000"/>
                      <w:sz w:val="22"/>
                      <w:szCs w:val="22"/>
                    </w:rPr>
                    <w:t>30.000,00 €</w:t>
                  </w:r>
                </w:p>
              </w:tc>
              <w:tc>
                <w:tcPr>
                  <w:tcW w:w="1380" w:type="dxa"/>
                  <w:tcBorders>
                    <w:top w:val="nil"/>
                    <w:left w:val="nil"/>
                    <w:bottom w:val="single" w:sz="4" w:space="0" w:color="auto"/>
                    <w:right w:val="single" w:sz="4" w:space="0" w:color="auto"/>
                  </w:tcBorders>
                  <w:shd w:val="clear" w:color="auto" w:fill="auto"/>
                  <w:noWrap/>
                  <w:vAlign w:val="bottom"/>
                  <w:hideMark/>
                </w:tcPr>
                <w:p w14:paraId="355D9872" w14:textId="77777777" w:rsidR="005F6DEF" w:rsidRDefault="005F6DEF" w:rsidP="00367F87">
                  <w:pPr>
                    <w:rPr>
                      <w:rFonts w:ascii="Calibri" w:hAnsi="Calibri"/>
                      <w:color w:val="000000"/>
                      <w:sz w:val="22"/>
                      <w:szCs w:val="22"/>
                    </w:rPr>
                  </w:pPr>
                  <w:r>
                    <w:rPr>
                      <w:rFonts w:ascii="Calibri" w:hAnsi="Calibri"/>
                      <w:color w:val="000000"/>
                      <w:sz w:val="22"/>
                      <w:szCs w:val="22"/>
                    </w:rPr>
                    <w:t> </w:t>
                  </w:r>
                </w:p>
              </w:tc>
            </w:tr>
            <w:tr w:rsidR="005F6DEF" w14:paraId="4B204302" w14:textId="77777777" w:rsidTr="00367F87">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B6759D7" w14:textId="77777777" w:rsidR="005F6DEF" w:rsidRDefault="005F6DEF" w:rsidP="00367F87">
                  <w:pPr>
                    <w:rPr>
                      <w:rFonts w:ascii="Calibri" w:hAnsi="Calibri"/>
                      <w:b/>
                      <w:bCs/>
                      <w:color w:val="000000"/>
                      <w:sz w:val="22"/>
                      <w:szCs w:val="22"/>
                    </w:rPr>
                  </w:pPr>
                  <w:r>
                    <w:rPr>
                      <w:rFonts w:ascii="Calibri" w:hAnsi="Calibri"/>
                      <w:b/>
                      <w:bCs/>
                      <w:color w:val="000000"/>
                      <w:sz w:val="22"/>
                      <w:szCs w:val="22"/>
                    </w:rPr>
                    <w:t>Gesamtkosten</w:t>
                  </w:r>
                </w:p>
              </w:tc>
              <w:tc>
                <w:tcPr>
                  <w:tcW w:w="1340" w:type="dxa"/>
                  <w:tcBorders>
                    <w:top w:val="nil"/>
                    <w:left w:val="nil"/>
                    <w:bottom w:val="single" w:sz="4" w:space="0" w:color="auto"/>
                    <w:right w:val="single" w:sz="4" w:space="0" w:color="auto"/>
                  </w:tcBorders>
                  <w:shd w:val="clear" w:color="auto" w:fill="auto"/>
                  <w:noWrap/>
                  <w:vAlign w:val="bottom"/>
                  <w:hideMark/>
                </w:tcPr>
                <w:p w14:paraId="56EE6E96" w14:textId="43EBB7E5" w:rsidR="005F6DEF" w:rsidRDefault="001E77BE" w:rsidP="00975C96">
                  <w:pPr>
                    <w:jc w:val="right"/>
                    <w:rPr>
                      <w:rFonts w:ascii="Calibri" w:hAnsi="Calibri"/>
                      <w:b/>
                      <w:bCs/>
                      <w:color w:val="000000"/>
                      <w:sz w:val="22"/>
                      <w:szCs w:val="22"/>
                    </w:rPr>
                  </w:pPr>
                  <w:r>
                    <w:rPr>
                      <w:rFonts w:ascii="Calibri" w:hAnsi="Calibri"/>
                      <w:b/>
                      <w:bCs/>
                      <w:color w:val="000000"/>
                      <w:sz w:val="22"/>
                      <w:szCs w:val="22"/>
                    </w:rPr>
                    <w:t>2</w:t>
                  </w:r>
                  <w:r w:rsidR="00975C96">
                    <w:rPr>
                      <w:rFonts w:ascii="Calibri" w:hAnsi="Calibri"/>
                      <w:b/>
                      <w:bCs/>
                      <w:color w:val="000000"/>
                      <w:sz w:val="22"/>
                      <w:szCs w:val="22"/>
                    </w:rPr>
                    <w:t>6</w:t>
                  </w:r>
                  <w:r>
                    <w:rPr>
                      <w:rFonts w:ascii="Calibri" w:hAnsi="Calibri"/>
                      <w:b/>
                      <w:bCs/>
                      <w:color w:val="000000"/>
                      <w:sz w:val="22"/>
                      <w:szCs w:val="22"/>
                    </w:rPr>
                    <w:t>.200</w:t>
                  </w:r>
                  <w:r w:rsidR="005F6DEF">
                    <w:rPr>
                      <w:rFonts w:ascii="Calibri" w:hAnsi="Calibri"/>
                      <w:b/>
                      <w:bCs/>
                      <w:color w:val="00000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14:paraId="14155666" w14:textId="77777777" w:rsidR="005F6DEF" w:rsidRDefault="005F6DEF" w:rsidP="00367F87">
                  <w:pPr>
                    <w:jc w:val="right"/>
                    <w:rPr>
                      <w:rFonts w:ascii="Calibri" w:hAnsi="Calibri"/>
                      <w:b/>
                      <w:bCs/>
                      <w:color w:val="000000"/>
                      <w:sz w:val="22"/>
                      <w:szCs w:val="22"/>
                    </w:rPr>
                  </w:pPr>
                  <w:r>
                    <w:rPr>
                      <w:rFonts w:ascii="Calibri" w:hAnsi="Calibri"/>
                      <w:b/>
                      <w:bCs/>
                      <w:color w:val="000000"/>
                      <w:sz w:val="22"/>
                      <w:szCs w:val="22"/>
                    </w:rPr>
                    <w:t>30.000,00 €</w:t>
                  </w:r>
                </w:p>
              </w:tc>
              <w:tc>
                <w:tcPr>
                  <w:tcW w:w="1380" w:type="dxa"/>
                  <w:tcBorders>
                    <w:top w:val="nil"/>
                    <w:left w:val="nil"/>
                    <w:bottom w:val="single" w:sz="4" w:space="0" w:color="auto"/>
                    <w:right w:val="single" w:sz="4" w:space="0" w:color="auto"/>
                  </w:tcBorders>
                  <w:shd w:val="clear" w:color="auto" w:fill="auto"/>
                  <w:noWrap/>
                  <w:vAlign w:val="bottom"/>
                  <w:hideMark/>
                </w:tcPr>
                <w:p w14:paraId="11A03BBC" w14:textId="36DF9646" w:rsidR="005F6DEF" w:rsidRDefault="001E77BE" w:rsidP="00975C96">
                  <w:pPr>
                    <w:jc w:val="right"/>
                    <w:rPr>
                      <w:rFonts w:ascii="Calibri" w:hAnsi="Calibri"/>
                      <w:b/>
                      <w:bCs/>
                      <w:color w:val="000000"/>
                      <w:sz w:val="22"/>
                      <w:szCs w:val="22"/>
                    </w:rPr>
                  </w:pPr>
                  <w:r>
                    <w:rPr>
                      <w:rFonts w:ascii="Calibri" w:hAnsi="Calibri"/>
                      <w:b/>
                      <w:bCs/>
                      <w:color w:val="000000"/>
                      <w:sz w:val="22"/>
                      <w:szCs w:val="22"/>
                    </w:rPr>
                    <w:t>2</w:t>
                  </w:r>
                  <w:r w:rsidR="00975C96">
                    <w:rPr>
                      <w:rFonts w:ascii="Calibri" w:hAnsi="Calibri"/>
                      <w:b/>
                      <w:bCs/>
                      <w:color w:val="000000"/>
                      <w:sz w:val="22"/>
                      <w:szCs w:val="22"/>
                    </w:rPr>
                    <w:t>6</w:t>
                  </w:r>
                  <w:r>
                    <w:rPr>
                      <w:rFonts w:ascii="Calibri" w:hAnsi="Calibri"/>
                      <w:b/>
                      <w:bCs/>
                      <w:color w:val="000000"/>
                      <w:sz w:val="22"/>
                      <w:szCs w:val="22"/>
                    </w:rPr>
                    <w:t>.</w:t>
                  </w:r>
                  <w:r w:rsidR="00975C96">
                    <w:rPr>
                      <w:rFonts w:ascii="Calibri" w:hAnsi="Calibri"/>
                      <w:b/>
                      <w:bCs/>
                      <w:color w:val="000000"/>
                      <w:sz w:val="22"/>
                      <w:szCs w:val="22"/>
                    </w:rPr>
                    <w:t>1</w:t>
                  </w:r>
                  <w:r>
                    <w:rPr>
                      <w:rFonts w:ascii="Calibri" w:hAnsi="Calibri"/>
                      <w:b/>
                      <w:bCs/>
                      <w:color w:val="000000"/>
                      <w:sz w:val="22"/>
                      <w:szCs w:val="22"/>
                    </w:rPr>
                    <w:t>00</w:t>
                  </w:r>
                  <w:r w:rsidR="005F6DEF">
                    <w:rPr>
                      <w:rFonts w:ascii="Calibri" w:hAnsi="Calibri"/>
                      <w:b/>
                      <w:bCs/>
                      <w:color w:val="000000"/>
                      <w:sz w:val="22"/>
                      <w:szCs w:val="22"/>
                    </w:rPr>
                    <w:t>,00 €</w:t>
                  </w:r>
                </w:p>
              </w:tc>
            </w:tr>
          </w:tbl>
          <w:p w14:paraId="2FB787E8" w14:textId="77777777" w:rsidR="008E6675" w:rsidRPr="005638EB" w:rsidRDefault="008E6675" w:rsidP="005638EB">
            <w:pPr>
              <w:rPr>
                <w:rFonts w:ascii="Arial Narrow" w:hAnsi="Arial Narrow"/>
              </w:rPr>
            </w:pPr>
          </w:p>
        </w:tc>
      </w:tr>
    </w:tbl>
    <w:p w14:paraId="3ABE45A2"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FB4200" w14:textId="77777777">
        <w:tc>
          <w:tcPr>
            <w:tcW w:w="9212" w:type="dxa"/>
          </w:tcPr>
          <w:p w14:paraId="3082336A" w14:textId="77777777" w:rsidR="008E6675" w:rsidRPr="005638EB" w:rsidRDefault="008E6675" w:rsidP="005638EB">
            <w:pPr>
              <w:rPr>
                <w:rFonts w:ascii="Arial Narrow" w:hAnsi="Arial Narrow"/>
              </w:rPr>
            </w:pPr>
            <w:r w:rsidRPr="008C1686">
              <w:rPr>
                <w:rFonts w:ascii="Arial Narrow" w:hAnsi="Arial Narrow"/>
                <w:b/>
                <w:sz w:val="22"/>
              </w:rPr>
              <w:t>4.2 Welche DRG(s) ist/sind am häufigsten von dieser Methode betroffen?</w:t>
            </w:r>
          </w:p>
        </w:tc>
      </w:tr>
      <w:tr w:rsidR="008E6675" w:rsidRPr="005638EB" w14:paraId="0C48B0B9" w14:textId="77777777">
        <w:tc>
          <w:tcPr>
            <w:tcW w:w="9212" w:type="dxa"/>
          </w:tcPr>
          <w:p w14:paraId="7B1FC154" w14:textId="77777777" w:rsidR="008E6675" w:rsidRPr="00A100DC" w:rsidRDefault="005F6DEF" w:rsidP="005638EB">
            <w:pPr>
              <w:rPr>
                <w:rFonts w:ascii="Arial Narrow" w:hAnsi="Arial Narrow"/>
                <w:color w:val="00B050"/>
                <w:sz w:val="22"/>
              </w:rPr>
            </w:pPr>
            <w:r w:rsidRPr="005F6DEF">
              <w:rPr>
                <w:rFonts w:ascii="Arial Narrow" w:hAnsi="Arial Narrow"/>
                <w:sz w:val="22"/>
              </w:rPr>
              <w:t>T63A</w:t>
            </w:r>
          </w:p>
        </w:tc>
      </w:tr>
    </w:tbl>
    <w:p w14:paraId="5BB070C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B025FFA" w14:textId="77777777">
        <w:tc>
          <w:tcPr>
            <w:tcW w:w="9212" w:type="dxa"/>
          </w:tcPr>
          <w:p w14:paraId="1AE2D497" w14:textId="77777777" w:rsidR="008E6675" w:rsidRPr="005638EB" w:rsidRDefault="008E6675" w:rsidP="005638EB">
            <w:pPr>
              <w:rPr>
                <w:rFonts w:ascii="Arial Narrow" w:hAnsi="Arial Narrow"/>
              </w:rPr>
            </w:pPr>
            <w:r w:rsidRPr="005638EB">
              <w:rPr>
                <w:rFonts w:ascii="Arial Narrow" w:hAnsi="Arial Narrow"/>
              </w:rPr>
              <w:t>4</w:t>
            </w:r>
            <w:r w:rsidRPr="008C1686">
              <w:rPr>
                <w:rFonts w:ascii="Arial Narrow" w:hAnsi="Arial Narrow"/>
                <w:b/>
                <w:sz w:val="22"/>
              </w:rPr>
              <w:t>.3 Warum ist diese Methode aus Ihrer Sicht derzeit im G-DRG-System nicht sachgerecht abgebildet?</w:t>
            </w:r>
          </w:p>
        </w:tc>
      </w:tr>
      <w:tr w:rsidR="008E6675" w:rsidRPr="005638EB" w14:paraId="599B7C92" w14:textId="77777777">
        <w:tc>
          <w:tcPr>
            <w:tcW w:w="9212" w:type="dxa"/>
          </w:tcPr>
          <w:p w14:paraId="7528B95B" w14:textId="0E11A3E8" w:rsidR="005F6DEF" w:rsidRPr="0072100C" w:rsidRDefault="005F6DEF" w:rsidP="005F6DEF">
            <w:pPr>
              <w:rPr>
                <w:rFonts w:ascii="Arial Narrow" w:hAnsi="Arial Narrow"/>
              </w:rPr>
            </w:pPr>
            <w:r w:rsidRPr="0072100C">
              <w:rPr>
                <w:rFonts w:ascii="Arial Narrow" w:hAnsi="Arial Narrow"/>
              </w:rPr>
              <w:lastRenderedPageBreak/>
              <w:t>Die oben gezeigten Mehrkosten übersteigen sowohl die Standardabweichungen (201</w:t>
            </w:r>
            <w:r w:rsidR="0072100C" w:rsidRPr="0072100C">
              <w:rPr>
                <w:rFonts w:ascii="Arial Narrow" w:hAnsi="Arial Narrow"/>
              </w:rPr>
              <w:t>7</w:t>
            </w:r>
            <w:r w:rsidRPr="0072100C">
              <w:rPr>
                <w:rFonts w:ascii="Arial Narrow" w:hAnsi="Arial Narrow"/>
              </w:rPr>
              <w:t xml:space="preserve"> = </w:t>
            </w:r>
            <w:r w:rsidR="0072100C" w:rsidRPr="0072100C">
              <w:rPr>
                <w:rFonts w:ascii="Arial Narrow" w:hAnsi="Arial Narrow"/>
              </w:rPr>
              <w:t>6</w:t>
            </w:r>
            <w:r w:rsidR="00CD2ADB">
              <w:rPr>
                <w:rFonts w:ascii="Arial Narrow" w:hAnsi="Arial Narrow"/>
              </w:rPr>
              <w:t>.</w:t>
            </w:r>
            <w:r w:rsidR="0072100C" w:rsidRPr="0072100C">
              <w:rPr>
                <w:rFonts w:ascii="Arial Narrow" w:hAnsi="Arial Narrow"/>
              </w:rPr>
              <w:t>782</w:t>
            </w:r>
            <w:r w:rsidRPr="0072100C">
              <w:rPr>
                <w:rFonts w:ascii="Arial Narrow" w:hAnsi="Arial Narrow"/>
              </w:rPr>
              <w:t xml:space="preserve"> €, Quelle: G-DRG Reportbrowser 2016)  in der DRG T63A als auch die Kosten im Kostenmodul 4b (</w:t>
            </w:r>
            <w:r w:rsidR="0072100C" w:rsidRPr="0072100C">
              <w:rPr>
                <w:rFonts w:ascii="Arial Narrow" w:hAnsi="Arial Narrow"/>
              </w:rPr>
              <w:t>685</w:t>
            </w:r>
            <w:r w:rsidR="00CD2ADB">
              <w:rPr>
                <w:rFonts w:ascii="Arial Narrow" w:hAnsi="Arial Narrow"/>
              </w:rPr>
              <w:t xml:space="preserve"> </w:t>
            </w:r>
            <w:r w:rsidRPr="0072100C">
              <w:rPr>
                <w:rFonts w:ascii="Arial Narrow" w:hAnsi="Arial Narrow"/>
              </w:rPr>
              <w:t>€).</w:t>
            </w:r>
          </w:p>
          <w:p w14:paraId="365BD976" w14:textId="77777777" w:rsidR="005F6DEF" w:rsidRDefault="005F6DEF" w:rsidP="005F6DEF">
            <w:pPr>
              <w:rPr>
                <w:rFonts w:cs="Arial"/>
                <w:bCs/>
              </w:rPr>
            </w:pPr>
          </w:p>
          <w:p w14:paraId="7CB25204" w14:textId="77777777" w:rsidR="005F6DEF" w:rsidRPr="008C1686" w:rsidRDefault="005F6DEF" w:rsidP="005F6DEF">
            <w:pPr>
              <w:rPr>
                <w:rFonts w:ascii="Arial Narrow" w:hAnsi="Arial Narrow"/>
              </w:rPr>
            </w:pPr>
            <w:r w:rsidRPr="008C1686">
              <w:rPr>
                <w:rFonts w:ascii="Arial Narrow" w:hAnsi="Arial Narrow"/>
              </w:rPr>
              <w:t>Für das Datenjahr 201</w:t>
            </w:r>
            <w:r>
              <w:rPr>
                <w:rFonts w:ascii="Arial Narrow" w:hAnsi="Arial Narrow"/>
              </w:rPr>
              <w:t>6</w:t>
            </w:r>
            <w:r w:rsidRPr="008C1686">
              <w:rPr>
                <w:rFonts w:ascii="Arial Narrow" w:hAnsi="Arial Narrow"/>
              </w:rPr>
              <w:t xml:space="preserve"> sollten aus den Kalkulationshäusern Kostendaten für den Einsatz vorliegen. </w:t>
            </w:r>
          </w:p>
          <w:p w14:paraId="60014E99" w14:textId="77777777" w:rsidR="005F6DEF" w:rsidRPr="008C1686" w:rsidRDefault="005F6DEF" w:rsidP="005F6DEF">
            <w:pPr>
              <w:rPr>
                <w:rFonts w:ascii="Arial Narrow" w:hAnsi="Arial Narrow"/>
              </w:rPr>
            </w:pPr>
            <w:r w:rsidRPr="008C1686">
              <w:rPr>
                <w:rFonts w:ascii="Arial Narrow" w:hAnsi="Arial Narrow"/>
              </w:rPr>
              <w:t>Wir vermuten, dass die Stichprobe jedoch zu klein ist, als dass genügend Kosten- und Leistungsinformationen aus den Krankenhäusern vorliegen, um damit eine sachgerechte Abbildung im G-DRG System 201</w:t>
            </w:r>
            <w:r>
              <w:rPr>
                <w:rFonts w:ascii="Arial Narrow" w:hAnsi="Arial Narrow"/>
              </w:rPr>
              <w:t>7</w:t>
            </w:r>
            <w:r w:rsidRPr="008C1686">
              <w:rPr>
                <w:rFonts w:ascii="Arial Narrow" w:hAnsi="Arial Narrow"/>
              </w:rPr>
              <w:t xml:space="preserve"> zu ermöglichen.</w:t>
            </w:r>
          </w:p>
          <w:p w14:paraId="2D313A32" w14:textId="43EC5219" w:rsidR="005F6DEF" w:rsidRPr="008C1686" w:rsidRDefault="005F6DEF" w:rsidP="005F6DEF">
            <w:pPr>
              <w:rPr>
                <w:rFonts w:ascii="Arial Narrow" w:hAnsi="Arial Narrow"/>
              </w:rPr>
            </w:pPr>
            <w:r w:rsidRPr="008C1686">
              <w:rPr>
                <w:rFonts w:ascii="Arial Narrow" w:hAnsi="Arial Narrow"/>
              </w:rPr>
              <w:t xml:space="preserve">Die zusätzlichen Kosten von </w:t>
            </w:r>
            <w:r>
              <w:rPr>
                <w:rFonts w:ascii="Arial Narrow" w:hAnsi="Arial Narrow"/>
              </w:rPr>
              <w:t xml:space="preserve">mindestens  </w:t>
            </w:r>
            <w:r w:rsidR="00CD2ADB">
              <w:rPr>
                <w:rFonts w:ascii="Arial Narrow" w:hAnsi="Arial Narrow"/>
              </w:rPr>
              <w:t>20.</w:t>
            </w:r>
            <w:r>
              <w:rPr>
                <w:rFonts w:ascii="Arial Narrow" w:hAnsi="Arial Narrow"/>
              </w:rPr>
              <w:t>000</w:t>
            </w:r>
            <w:r w:rsidR="00CD2ADB">
              <w:rPr>
                <w:rFonts w:ascii="Arial Narrow" w:hAnsi="Arial Narrow"/>
              </w:rPr>
              <w:t xml:space="preserve"> </w:t>
            </w:r>
            <w:r>
              <w:rPr>
                <w:rFonts w:ascii="Arial Narrow" w:hAnsi="Arial Narrow"/>
              </w:rPr>
              <w:t>€</w:t>
            </w:r>
            <w:r w:rsidRPr="008C1686">
              <w:rPr>
                <w:rFonts w:ascii="Arial Narrow" w:hAnsi="Arial Narrow"/>
              </w:rPr>
              <w:t xml:space="preserve"> pro </w:t>
            </w:r>
            <w:r>
              <w:rPr>
                <w:rFonts w:ascii="Arial Narrow" w:hAnsi="Arial Narrow"/>
              </w:rPr>
              <w:t xml:space="preserve">Applikation </w:t>
            </w:r>
            <w:r w:rsidRPr="008C1686">
              <w:rPr>
                <w:rFonts w:ascii="Arial Narrow" w:hAnsi="Arial Narrow"/>
              </w:rPr>
              <w:t xml:space="preserve">können aber mit der Fallpauschale allein nicht ausreichend abgebildet werden und </w:t>
            </w:r>
            <w:r>
              <w:rPr>
                <w:rFonts w:ascii="Arial Narrow" w:hAnsi="Arial Narrow"/>
              </w:rPr>
              <w:t xml:space="preserve">die Gabe von virusspezifischen Zellen </w:t>
            </w:r>
            <w:r w:rsidRPr="008C1686">
              <w:rPr>
                <w:rFonts w:ascii="Arial Narrow" w:hAnsi="Arial Narrow"/>
              </w:rPr>
              <w:t xml:space="preserve">ist bisher im ZE Katalog nicht enthalten. </w:t>
            </w:r>
          </w:p>
          <w:p w14:paraId="5492583F" w14:textId="77777777" w:rsidR="005F6DEF" w:rsidRDefault="005F6DEF" w:rsidP="005F6DEF">
            <w:pPr>
              <w:rPr>
                <w:rFonts w:ascii="Arial Narrow" w:hAnsi="Arial Narrow"/>
              </w:rPr>
            </w:pPr>
            <w:r w:rsidRPr="008C1686">
              <w:rPr>
                <w:rFonts w:ascii="Arial Narrow" w:hAnsi="Arial Narrow"/>
              </w:rPr>
              <w:t>Aufgrund der hohen Kosten kommt es zu einer Schieflage in der betroffenen DRG.</w:t>
            </w:r>
          </w:p>
          <w:p w14:paraId="0D5038B0" w14:textId="77777777" w:rsidR="008E6675" w:rsidRPr="005638EB" w:rsidRDefault="008E6675" w:rsidP="005F6DEF">
            <w:pPr>
              <w:rPr>
                <w:rFonts w:ascii="Arial Narrow" w:hAnsi="Arial Narrow"/>
                <w:b/>
              </w:rPr>
            </w:pPr>
          </w:p>
        </w:tc>
      </w:tr>
    </w:tbl>
    <w:p w14:paraId="7FF4B65C" w14:textId="621D068F" w:rsidR="008E6675" w:rsidRPr="005638EB" w:rsidRDefault="008E6675">
      <w:pPr>
        <w:rPr>
          <w:rFonts w:ascii="Arial Narrow" w:hAnsi="Arial Narrow"/>
        </w:rPr>
      </w:pPr>
    </w:p>
    <w:sectPr w:rsidR="008E6675" w:rsidRPr="005638EB" w:rsidSect="004E1D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2B6D" w14:textId="77777777" w:rsidR="00E9243F" w:rsidRDefault="00E9243F">
      <w:r>
        <w:separator/>
      </w:r>
    </w:p>
  </w:endnote>
  <w:endnote w:type="continuationSeparator" w:id="0">
    <w:p w14:paraId="0371DD2B" w14:textId="77777777" w:rsidR="00E9243F" w:rsidRDefault="00E9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heSansOffice">
    <w:altName w:val="Arial"/>
    <w:panose1 w:val="00000000000000000000"/>
    <w:charset w:val="00"/>
    <w:family w:val="swiss"/>
    <w:notTrueType/>
    <w:pitch w:val="variable"/>
    <w:sig w:usb0="00000001"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9E37" w14:textId="77777777" w:rsidR="00AE1F91" w:rsidRDefault="00AE1F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DB83" w14:textId="54A9930F" w:rsidR="00AE1F91" w:rsidRPr="00AE1F91" w:rsidRDefault="00AE1F91" w:rsidP="00AE1F91">
    <w:pPr>
      <w:pStyle w:val="Fuzeile"/>
      <w:rPr>
        <w:rFonts w:ascii="Arial Narrow" w:hAnsi="Arial Narrow"/>
        <w:sz w:val="22"/>
        <w:szCs w:val="22"/>
      </w:rPr>
    </w:pPr>
    <w:r w:rsidRPr="00AE1F91">
      <w:rPr>
        <w:rFonts w:ascii="Arial Narrow" w:hAnsi="Arial Narrow"/>
        <w:sz w:val="22"/>
        <w:szCs w:val="22"/>
      </w:rPr>
      <w:t xml:space="preserve">Arbeitsgruppe DRG der Gesellschaft für Pädiatrische Onkologie und Hämatologie e.V., </w:t>
    </w:r>
    <w:r w:rsidRPr="00AE1F91">
      <w:rPr>
        <w:rFonts w:ascii="Arial Narrow" w:hAnsi="Arial Narrow"/>
      </w:rPr>
      <w:t xml:space="preserve">und </w:t>
    </w:r>
    <w:r w:rsidRPr="00AE1F91">
      <w:rPr>
        <w:rStyle w:val="Hyperlink"/>
        <w:rFonts w:ascii="Arial Narrow" w:hAnsi="Arial Narrow"/>
        <w:color w:val="auto"/>
        <w:sz w:val="22"/>
        <w:szCs w:val="22"/>
        <w:u w:val="none"/>
      </w:rPr>
      <w:t>Arbeitskreis DRG und Gesundheitsökonomie der Deutschen Gesellschaft für Hämatologie und medizinische Onkologie e.V. und</w:t>
    </w:r>
  </w:p>
  <w:p w14:paraId="0B23E585" w14:textId="77777777" w:rsidR="00AE1F91" w:rsidRPr="00AE1F91" w:rsidRDefault="00476AA0">
    <w:pPr>
      <w:pStyle w:val="Fuzeile"/>
      <w:rPr>
        <w:rStyle w:val="Hyperlink"/>
        <w:rFonts w:ascii="Arial Narrow" w:hAnsi="Arial Narrow"/>
        <w:color w:val="auto"/>
        <w:sz w:val="22"/>
        <w:szCs w:val="22"/>
        <w:u w:val="none"/>
      </w:rPr>
    </w:pPr>
    <w:hyperlink r:id="rId1" w:history="1">
      <w:r w:rsidR="00AE1F91" w:rsidRPr="00AE1F91">
        <w:rPr>
          <w:rStyle w:val="Hyperlink"/>
          <w:rFonts w:ascii="Arial Narrow" w:hAnsi="Arial Narrow"/>
          <w:color w:val="auto"/>
          <w:sz w:val="22"/>
          <w:szCs w:val="22"/>
          <w:u w:val="none"/>
        </w:rPr>
        <w:t>www.gpoh.de</w:t>
      </w:r>
    </w:hyperlink>
    <w:r w:rsidR="00AE1F91" w:rsidRPr="00AE1F91">
      <w:rPr>
        <w:rStyle w:val="Hyperlink"/>
        <w:rFonts w:ascii="Arial Narrow" w:hAnsi="Arial Narrow"/>
        <w:color w:val="auto"/>
        <w:sz w:val="22"/>
        <w:szCs w:val="22"/>
        <w:u w:val="none"/>
      </w:rPr>
      <w:t xml:space="preserve"> </w:t>
    </w:r>
  </w:p>
  <w:p w14:paraId="17088652" w14:textId="7B28E213" w:rsidR="008E6675" w:rsidRPr="00AE1F91" w:rsidRDefault="008E6675">
    <w:pPr>
      <w:pStyle w:val="Fuzeile"/>
      <w:rPr>
        <w:rFonts w:ascii="Arial Narrow" w:hAnsi="Arial Narrow"/>
      </w:rPr>
    </w:pPr>
    <w:r w:rsidRPr="00AE1F91">
      <w:rPr>
        <w:rFonts w:ascii="Arial Narrow" w:hAnsi="Arial Narrow"/>
        <w:snapToGrid w:val="0"/>
      </w:rPr>
      <w:t xml:space="preserve">Seite </w:t>
    </w:r>
    <w:r w:rsidRPr="00AE1F91">
      <w:rPr>
        <w:rFonts w:ascii="Arial Narrow" w:hAnsi="Arial Narrow"/>
        <w:snapToGrid w:val="0"/>
      </w:rPr>
      <w:fldChar w:fldCharType="begin"/>
    </w:r>
    <w:r w:rsidRPr="00AE1F91">
      <w:rPr>
        <w:rFonts w:ascii="Arial Narrow" w:hAnsi="Arial Narrow"/>
        <w:snapToGrid w:val="0"/>
      </w:rPr>
      <w:instrText xml:space="preserve"> PAGE </w:instrText>
    </w:r>
    <w:r w:rsidRPr="00AE1F91">
      <w:rPr>
        <w:rFonts w:ascii="Arial Narrow" w:hAnsi="Arial Narrow"/>
        <w:snapToGrid w:val="0"/>
      </w:rPr>
      <w:fldChar w:fldCharType="separate"/>
    </w:r>
    <w:r w:rsidR="00476AA0">
      <w:rPr>
        <w:rFonts w:ascii="Arial Narrow" w:hAnsi="Arial Narrow"/>
        <w:noProof/>
        <w:snapToGrid w:val="0"/>
      </w:rPr>
      <w:t>1</w:t>
    </w:r>
    <w:r w:rsidRPr="00AE1F91">
      <w:rPr>
        <w:rFonts w:ascii="Arial Narrow" w:hAnsi="Arial Narrow"/>
        <w:snapToGrid w:val="0"/>
      </w:rPr>
      <w:fldChar w:fldCharType="end"/>
    </w:r>
    <w:r w:rsidRPr="00AE1F91">
      <w:rPr>
        <w:rFonts w:ascii="Arial Narrow" w:hAnsi="Arial Narrow"/>
        <w:snapToGrid w:val="0"/>
      </w:rPr>
      <w:t xml:space="preserve"> von </w:t>
    </w:r>
    <w:r w:rsidRPr="00AE1F91">
      <w:rPr>
        <w:rFonts w:ascii="Arial Narrow" w:hAnsi="Arial Narrow"/>
        <w:snapToGrid w:val="0"/>
      </w:rPr>
      <w:fldChar w:fldCharType="begin"/>
    </w:r>
    <w:r w:rsidRPr="00AE1F91">
      <w:rPr>
        <w:rFonts w:ascii="Arial Narrow" w:hAnsi="Arial Narrow"/>
        <w:snapToGrid w:val="0"/>
      </w:rPr>
      <w:instrText xml:space="preserve"> NUMPAGES </w:instrText>
    </w:r>
    <w:r w:rsidRPr="00AE1F91">
      <w:rPr>
        <w:rFonts w:ascii="Arial Narrow" w:hAnsi="Arial Narrow"/>
        <w:snapToGrid w:val="0"/>
      </w:rPr>
      <w:fldChar w:fldCharType="separate"/>
    </w:r>
    <w:r w:rsidR="00476AA0">
      <w:rPr>
        <w:rFonts w:ascii="Arial Narrow" w:hAnsi="Arial Narrow"/>
        <w:noProof/>
        <w:snapToGrid w:val="0"/>
      </w:rPr>
      <w:t>6</w:t>
    </w:r>
    <w:r w:rsidRPr="00AE1F91">
      <w:rPr>
        <w:rFonts w:ascii="Arial Narrow" w:hAnsi="Arial Narrow"/>
        <w:snapToGrid w:val="0"/>
      </w:rPr>
      <w:fldChar w:fldCharType="end"/>
    </w:r>
  </w:p>
  <w:p w14:paraId="3D15AA71" w14:textId="7BE96125" w:rsidR="008E6675" w:rsidRPr="00AE1F91" w:rsidRDefault="00AE1F91">
    <w:pPr>
      <w:pStyle w:val="Fuzeile"/>
      <w:rPr>
        <w:rFonts w:ascii="Arial Narrow" w:hAnsi="Arial Narrow"/>
      </w:rPr>
    </w:pPr>
    <w:r w:rsidRPr="00AE1F91">
      <w:rPr>
        <w:rFonts w:ascii="Arial Narrow" w:hAnsi="Arial Narrow"/>
      </w:rPr>
      <w:t>Antrag Virus-spezifische T-Zellen FINAL 10.10.2017</w:t>
    </w:r>
  </w:p>
  <w:p w14:paraId="033882CD" w14:textId="77777777" w:rsidR="008E6675" w:rsidRDefault="008E66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9A380" w14:textId="77777777" w:rsidR="00AE1F91" w:rsidRDefault="00AE1F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1A83D" w14:textId="77777777" w:rsidR="00E9243F" w:rsidRDefault="00E9243F">
      <w:r>
        <w:separator/>
      </w:r>
    </w:p>
  </w:footnote>
  <w:footnote w:type="continuationSeparator" w:id="0">
    <w:p w14:paraId="111CDE83" w14:textId="77777777" w:rsidR="00E9243F" w:rsidRDefault="00E9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7A33" w14:textId="77777777" w:rsidR="00AE1F91" w:rsidRDefault="00AE1F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BFB6" w14:textId="77777777" w:rsidR="003B2E05" w:rsidRPr="004C4F82" w:rsidRDefault="008E6675" w:rsidP="00596F9A">
    <w:pPr>
      <w:pStyle w:val="Titel"/>
      <w:rPr>
        <w:sz w:val="48"/>
      </w:rPr>
    </w:pPr>
    <w:r w:rsidRPr="004C4F82">
      <w:rPr>
        <w:sz w:val="48"/>
      </w:rPr>
      <w:t>NUB Antrag 201</w:t>
    </w:r>
    <w:r w:rsidR="004C4F82" w:rsidRPr="004C4F82">
      <w:rPr>
        <w:sz w:val="48"/>
      </w:rPr>
      <w:t>7</w:t>
    </w:r>
    <w:r w:rsidRPr="004C4F82">
      <w:rPr>
        <w:sz w:val="48"/>
      </w:rPr>
      <w:t>/201</w:t>
    </w:r>
    <w:r w:rsidR="004C4F82" w:rsidRPr="004C4F82">
      <w:rPr>
        <w:sz w:val="48"/>
      </w:rPr>
      <w:t>8</w:t>
    </w:r>
    <w:r w:rsidRPr="004C4F82">
      <w:rPr>
        <w:sz w:val="48"/>
      </w:rPr>
      <w:t xml:space="preserve"> </w:t>
    </w:r>
  </w:p>
  <w:p w14:paraId="6EB29E9A" w14:textId="77777777" w:rsidR="008E6675" w:rsidRPr="004C4F82" w:rsidRDefault="004C4F82" w:rsidP="00596F9A">
    <w:pPr>
      <w:pStyle w:val="Titel"/>
      <w:rPr>
        <w:sz w:val="48"/>
      </w:rPr>
    </w:pPr>
    <w:r w:rsidRPr="004C4F82">
      <w:rPr>
        <w:sz w:val="48"/>
      </w:rPr>
      <w:t>[</w:t>
    </w:r>
    <w:r w:rsidR="005F6DEF">
      <w:rPr>
        <w:sz w:val="48"/>
      </w:rPr>
      <w:t>virusspezfische Spenderzellen</w:t>
    </w:r>
    <w:r w:rsidRPr="004C4F82">
      <w:rPr>
        <w:sz w:val="48"/>
      </w:rPr>
      <w:t>]</w:t>
    </w:r>
  </w:p>
  <w:p w14:paraId="557B72F4" w14:textId="77777777" w:rsidR="008E6675" w:rsidRDefault="008E667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C595" w14:textId="77777777" w:rsidR="00AE1F91" w:rsidRDefault="00AE1F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8"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01969"/>
    <w:multiLevelType w:val="hybridMultilevel"/>
    <w:tmpl w:val="72220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7"/>
  </w:num>
  <w:num w:numId="6">
    <w:abstractNumId w:val="2"/>
  </w:num>
  <w:num w:numId="7">
    <w:abstractNumId w:val="6"/>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B1"/>
    <w:rsid w:val="00015BCA"/>
    <w:rsid w:val="00024651"/>
    <w:rsid w:val="0004094A"/>
    <w:rsid w:val="00072A33"/>
    <w:rsid w:val="000C704A"/>
    <w:rsid w:val="00174C6A"/>
    <w:rsid w:val="00180602"/>
    <w:rsid w:val="001D26AB"/>
    <w:rsid w:val="001E77BE"/>
    <w:rsid w:val="002005AF"/>
    <w:rsid w:val="00234FB1"/>
    <w:rsid w:val="0028432D"/>
    <w:rsid w:val="002D7403"/>
    <w:rsid w:val="002E5E26"/>
    <w:rsid w:val="00345A44"/>
    <w:rsid w:val="003479E5"/>
    <w:rsid w:val="003530F4"/>
    <w:rsid w:val="0036325A"/>
    <w:rsid w:val="003B2E05"/>
    <w:rsid w:val="003F2692"/>
    <w:rsid w:val="0040610F"/>
    <w:rsid w:val="0041156E"/>
    <w:rsid w:val="004642E2"/>
    <w:rsid w:val="00476AA0"/>
    <w:rsid w:val="004908FF"/>
    <w:rsid w:val="00492AB4"/>
    <w:rsid w:val="004B3438"/>
    <w:rsid w:val="004B624B"/>
    <w:rsid w:val="004B6C59"/>
    <w:rsid w:val="004C4F82"/>
    <w:rsid w:val="004E1D02"/>
    <w:rsid w:val="0050526A"/>
    <w:rsid w:val="005524BC"/>
    <w:rsid w:val="005638EB"/>
    <w:rsid w:val="00596F9A"/>
    <w:rsid w:val="005F29C6"/>
    <w:rsid w:val="005F4D2E"/>
    <w:rsid w:val="005F6DEF"/>
    <w:rsid w:val="00612463"/>
    <w:rsid w:val="006549F4"/>
    <w:rsid w:val="006D6EFC"/>
    <w:rsid w:val="0072100C"/>
    <w:rsid w:val="0073366C"/>
    <w:rsid w:val="007521E1"/>
    <w:rsid w:val="007600D1"/>
    <w:rsid w:val="007A6F09"/>
    <w:rsid w:val="007F255B"/>
    <w:rsid w:val="00807564"/>
    <w:rsid w:val="00816924"/>
    <w:rsid w:val="00817A75"/>
    <w:rsid w:val="00850D44"/>
    <w:rsid w:val="008B4504"/>
    <w:rsid w:val="008C1686"/>
    <w:rsid w:val="008D12DD"/>
    <w:rsid w:val="008E6675"/>
    <w:rsid w:val="00975C96"/>
    <w:rsid w:val="00983554"/>
    <w:rsid w:val="009B1C7E"/>
    <w:rsid w:val="009C0B84"/>
    <w:rsid w:val="00A00CCB"/>
    <w:rsid w:val="00A100DC"/>
    <w:rsid w:val="00A159FF"/>
    <w:rsid w:val="00A2016B"/>
    <w:rsid w:val="00A21E9E"/>
    <w:rsid w:val="00A345A9"/>
    <w:rsid w:val="00A530BE"/>
    <w:rsid w:val="00A93AAD"/>
    <w:rsid w:val="00AE1F91"/>
    <w:rsid w:val="00AE4C49"/>
    <w:rsid w:val="00B03A61"/>
    <w:rsid w:val="00B574E9"/>
    <w:rsid w:val="00B6570D"/>
    <w:rsid w:val="00B773B8"/>
    <w:rsid w:val="00BB3762"/>
    <w:rsid w:val="00BB4A54"/>
    <w:rsid w:val="00BC4042"/>
    <w:rsid w:val="00BD5C51"/>
    <w:rsid w:val="00BF11AE"/>
    <w:rsid w:val="00C35F91"/>
    <w:rsid w:val="00C4679B"/>
    <w:rsid w:val="00CD2365"/>
    <w:rsid w:val="00CD2ADB"/>
    <w:rsid w:val="00CE34DD"/>
    <w:rsid w:val="00CE69F3"/>
    <w:rsid w:val="00CF5ECC"/>
    <w:rsid w:val="00D216BD"/>
    <w:rsid w:val="00D21A79"/>
    <w:rsid w:val="00D87B96"/>
    <w:rsid w:val="00D9586E"/>
    <w:rsid w:val="00DB4789"/>
    <w:rsid w:val="00DC6CBD"/>
    <w:rsid w:val="00E24E3B"/>
    <w:rsid w:val="00E60D0E"/>
    <w:rsid w:val="00E86725"/>
    <w:rsid w:val="00E9243F"/>
    <w:rsid w:val="00E92C57"/>
    <w:rsid w:val="00EC0987"/>
    <w:rsid w:val="00EE5875"/>
    <w:rsid w:val="00F000AA"/>
    <w:rsid w:val="00F233AA"/>
    <w:rsid w:val="00F8457C"/>
    <w:rsid w:val="00F91167"/>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7770B48"/>
  <w15:docId w15:val="{D2B4924F-D93C-4793-97E4-B3F17A9E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Hyp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semiHidden/>
    <w:locked/>
    <w:rsid w:val="008B4504"/>
    <w:rPr>
      <w:rFonts w:cs="Times New Roman"/>
      <w:sz w:val="24"/>
      <w:szCs w:val="24"/>
    </w:rPr>
  </w:style>
  <w:style w:type="character" w:styleId="Fett">
    <w:name w:val="Strong"/>
    <w:basedOn w:val="Absatz-Standardschriftart"/>
    <w:qFormat/>
    <w:locked/>
    <w:rsid w:val="005F6DEF"/>
    <w:rPr>
      <w:b/>
      <w:bCs/>
    </w:rPr>
  </w:style>
  <w:style w:type="paragraph" w:styleId="Listenabsatz">
    <w:name w:val="List Paragraph"/>
    <w:basedOn w:val="Standard"/>
    <w:uiPriority w:val="34"/>
    <w:qFormat/>
    <w:rsid w:val="005F6DEF"/>
    <w:pPr>
      <w:ind w:left="720"/>
      <w:contextualSpacing/>
    </w:pPr>
    <w:rPr>
      <w:rFonts w:ascii="TheSansOffice" w:hAnsi="TheSansOffice"/>
    </w:rPr>
  </w:style>
  <w:style w:type="character" w:styleId="Kommentarzeichen">
    <w:name w:val="annotation reference"/>
    <w:basedOn w:val="Absatz-Standardschriftart"/>
    <w:uiPriority w:val="99"/>
    <w:semiHidden/>
    <w:unhideWhenUsed/>
    <w:rsid w:val="00BD5C51"/>
    <w:rPr>
      <w:sz w:val="16"/>
      <w:szCs w:val="16"/>
    </w:rPr>
  </w:style>
  <w:style w:type="paragraph" w:styleId="Kommentartext">
    <w:name w:val="annotation text"/>
    <w:basedOn w:val="Standard"/>
    <w:link w:val="KommentartextZchn"/>
    <w:uiPriority w:val="99"/>
    <w:semiHidden/>
    <w:unhideWhenUsed/>
    <w:rsid w:val="00BD5C51"/>
    <w:rPr>
      <w:sz w:val="20"/>
      <w:szCs w:val="20"/>
    </w:rPr>
  </w:style>
  <w:style w:type="character" w:customStyle="1" w:styleId="KommentartextZchn">
    <w:name w:val="Kommentartext Zchn"/>
    <w:basedOn w:val="Absatz-Standardschriftart"/>
    <w:link w:val="Kommentartext"/>
    <w:uiPriority w:val="99"/>
    <w:semiHidden/>
    <w:rsid w:val="00BD5C51"/>
    <w:rPr>
      <w:sz w:val="20"/>
      <w:szCs w:val="20"/>
    </w:rPr>
  </w:style>
  <w:style w:type="paragraph" w:styleId="Kommentarthema">
    <w:name w:val="annotation subject"/>
    <w:basedOn w:val="Kommentartext"/>
    <w:next w:val="Kommentartext"/>
    <w:link w:val="KommentarthemaZchn"/>
    <w:uiPriority w:val="99"/>
    <w:semiHidden/>
    <w:unhideWhenUsed/>
    <w:rsid w:val="00BD5C51"/>
    <w:rPr>
      <w:b/>
      <w:bCs/>
    </w:rPr>
  </w:style>
  <w:style w:type="character" w:customStyle="1" w:styleId="KommentarthemaZchn">
    <w:name w:val="Kommentarthema Zchn"/>
    <w:basedOn w:val="KommentartextZchn"/>
    <w:link w:val="Kommentarthema"/>
    <w:uiPriority w:val="99"/>
    <w:semiHidden/>
    <w:rsid w:val="00BD5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po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2026</Words>
  <Characters>12765</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Dobke, Julia</cp:lastModifiedBy>
  <cp:revision>2</cp:revision>
  <cp:lastPrinted>2017-10-12T07:12:00Z</cp:lastPrinted>
  <dcterms:created xsi:type="dcterms:W3CDTF">2017-10-13T06:40:00Z</dcterms:created>
  <dcterms:modified xsi:type="dcterms:W3CDTF">2017-10-13T06:40:00Z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H-ID">
    <vt:lpwstr>-</vt:lpwstr>
  </property>
  <property fmtid="{D5CDD505-2E9C-101B-9397-08002B2CF9AE}" pid="3" name="Nummer">
    <vt:lpwstr>-</vt:lpwstr>
  </property>
  <property fmtid="{D5CDD505-2E9C-101B-9397-08002B2CF9AE}" pid="4" name="MHH-Datum">
    <vt:lpwstr>-</vt:lpwstr>
  </property>
  <property fmtid="{D5CDD505-2E9C-101B-9397-08002B2CF9AE}" pid="5" name="MHH-Versionsnummer">
    <vt:lpwstr>-</vt:lpwstr>
  </property>
  <property fmtid="{D5CDD505-2E9C-101B-9397-08002B2CF9AE}" pid="6" name="Grp.">
    <vt:lpwstr>-</vt:lpwstr>
  </property>
  <property fmtid="{D5CDD505-2E9C-101B-9397-08002B2CF9AE}" pid="7" name="Abt.">
    <vt:lpwstr>-</vt:lpwstr>
  </property>
  <property fmtid="{D5CDD505-2E9C-101B-9397-08002B2CF9AE}" pid="8" name="Abteilungskürzel">
    <vt:lpwstr>-</vt:lpwstr>
  </property>
  <property fmtid="{D5CDD505-2E9C-101B-9397-08002B2CF9AE}" pid="9" name="Dokumentenuntergruppe">
    <vt:lpwstr>-</vt:lpwstr>
  </property>
  <property fmtid="{D5CDD505-2E9C-101B-9397-08002B2CF9AE}" pid="10" name="DokumentArt">
    <vt:lpwstr>-</vt:lpwstr>
  </property>
</Properties>
</file>